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221287" w14:textId="393F554F" w:rsidR="00D00AE7" w:rsidRPr="007C1B33" w:rsidRDefault="00D00AE7" w:rsidP="00D00AE7">
      <w:pPr>
        <w:pStyle w:val="TdocHeader2"/>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3GPP TSG RAN WG</w:t>
      </w:r>
      <w:r w:rsidR="005F599F">
        <w:rPr>
          <w:rFonts w:eastAsia="Times New Roman" w:cs="Arial"/>
          <w:bCs/>
          <w:noProof/>
          <w:sz w:val="20"/>
          <w:szCs w:val="18"/>
          <w:lang w:val="en-US" w:eastAsia="zh-CN"/>
        </w:rPr>
        <w:t>1</w:t>
      </w:r>
      <w:r>
        <w:rPr>
          <w:rFonts w:eastAsia="Times New Roman" w:cs="Arial"/>
          <w:bCs/>
          <w:noProof/>
          <w:sz w:val="20"/>
          <w:szCs w:val="18"/>
          <w:lang w:val="en-US" w:eastAsia="zh-CN"/>
        </w:rPr>
        <w:t xml:space="preserve"> Meeting #</w:t>
      </w:r>
      <w:bookmarkStart w:id="2" w:name="_GoBack"/>
      <w:bookmarkEnd w:id="2"/>
      <w:r w:rsidR="005F599F" w:rsidRPr="00A2068F">
        <w:rPr>
          <w:rFonts w:eastAsia="Times New Roman" w:cs="Arial"/>
          <w:bCs/>
          <w:noProof/>
          <w:sz w:val="20"/>
          <w:szCs w:val="18"/>
          <w:lang w:val="en-US" w:eastAsia="zh-CN"/>
        </w:rPr>
        <w:t>84bis</w:t>
      </w:r>
      <w:r w:rsidRPr="00A2068F">
        <w:rPr>
          <w:rFonts w:eastAsia="Times New Roman" w:cs="Arial"/>
          <w:bCs/>
          <w:noProof/>
          <w:sz w:val="20"/>
          <w:szCs w:val="18"/>
          <w:lang w:val="en-US" w:eastAsia="zh-CN"/>
        </w:rPr>
        <w:t xml:space="preserve">                                                                                 </w:t>
      </w:r>
      <w:r w:rsidR="00B538DB" w:rsidRPr="00A2068F">
        <w:rPr>
          <w:rFonts w:eastAsia="Times New Roman" w:cs="Arial"/>
          <w:bCs/>
          <w:noProof/>
          <w:sz w:val="20"/>
          <w:szCs w:val="18"/>
          <w:lang w:val="en-US" w:eastAsia="zh-CN"/>
        </w:rPr>
        <w:t>R1-163224</w:t>
      </w:r>
    </w:p>
    <w:p w14:paraId="7C2DB728" w14:textId="586A88A5" w:rsidR="00CD127A" w:rsidRDefault="005F599F" w:rsidP="00CD127A">
      <w:pPr>
        <w:pStyle w:val="TdocHeader2"/>
        <w:rPr>
          <w:rFonts w:eastAsia="Times New Roman" w:cs="Arial"/>
          <w:bCs/>
          <w:noProof/>
          <w:sz w:val="20"/>
          <w:szCs w:val="18"/>
          <w:lang w:val="en-US" w:eastAsia="zh-CN"/>
        </w:rPr>
      </w:pPr>
      <w:r>
        <w:rPr>
          <w:rFonts w:eastAsia="Times New Roman" w:cs="Arial"/>
          <w:bCs/>
          <w:noProof/>
          <w:sz w:val="20"/>
          <w:szCs w:val="18"/>
          <w:lang w:val="en-US" w:eastAsia="zh-CN"/>
        </w:rPr>
        <w:t>Busan</w:t>
      </w:r>
      <w:r w:rsidR="00CD127A">
        <w:rPr>
          <w:rFonts w:eastAsia="Times New Roman" w:cs="Arial"/>
          <w:bCs/>
          <w:noProof/>
          <w:sz w:val="20"/>
          <w:szCs w:val="18"/>
          <w:lang w:val="en-US" w:eastAsia="zh-CN"/>
        </w:rPr>
        <w:t xml:space="preserve">, </w:t>
      </w:r>
      <w:r w:rsidR="00D20493">
        <w:rPr>
          <w:rFonts w:eastAsia="Times New Roman" w:cs="Arial"/>
          <w:bCs/>
          <w:noProof/>
          <w:sz w:val="20"/>
          <w:szCs w:val="18"/>
          <w:lang w:val="en-US" w:eastAsia="zh-CN"/>
        </w:rPr>
        <w:t>11</w:t>
      </w:r>
      <w:r w:rsidR="00CD127A" w:rsidRPr="00617591">
        <w:rPr>
          <w:rFonts w:eastAsia="Times New Roman" w:cs="Arial"/>
          <w:bCs/>
          <w:noProof/>
          <w:sz w:val="20"/>
          <w:szCs w:val="18"/>
          <w:vertAlign w:val="superscript"/>
          <w:lang w:val="en-US" w:eastAsia="zh-CN"/>
        </w:rPr>
        <w:t>th</w:t>
      </w:r>
      <w:r w:rsidR="00CD127A">
        <w:rPr>
          <w:rFonts w:eastAsia="Times New Roman" w:cs="Arial"/>
          <w:bCs/>
          <w:noProof/>
          <w:sz w:val="20"/>
          <w:szCs w:val="18"/>
          <w:lang w:val="en-US" w:eastAsia="zh-CN"/>
        </w:rPr>
        <w:t xml:space="preserve"> – 1</w:t>
      </w:r>
      <w:r w:rsidR="00D20493">
        <w:rPr>
          <w:rFonts w:eastAsia="Times New Roman" w:cs="Arial"/>
          <w:bCs/>
          <w:noProof/>
          <w:sz w:val="20"/>
          <w:szCs w:val="18"/>
          <w:lang w:val="en-US" w:eastAsia="zh-CN"/>
        </w:rPr>
        <w:t>5</w:t>
      </w:r>
      <w:r w:rsidR="00CD127A" w:rsidRPr="00617591">
        <w:rPr>
          <w:rFonts w:eastAsia="Times New Roman" w:cs="Arial"/>
          <w:bCs/>
          <w:noProof/>
          <w:sz w:val="20"/>
          <w:szCs w:val="18"/>
          <w:vertAlign w:val="superscript"/>
          <w:lang w:val="en-US" w:eastAsia="zh-CN"/>
        </w:rPr>
        <w:t>th</w:t>
      </w:r>
      <w:r w:rsidR="00CD127A">
        <w:rPr>
          <w:rFonts w:eastAsia="Times New Roman" w:cs="Arial"/>
          <w:bCs/>
          <w:noProof/>
          <w:sz w:val="20"/>
          <w:szCs w:val="18"/>
          <w:lang w:val="en-US" w:eastAsia="zh-CN"/>
        </w:rPr>
        <w:t xml:space="preserve"> </w:t>
      </w:r>
      <w:r w:rsidR="00D20493">
        <w:rPr>
          <w:rFonts w:eastAsia="Times New Roman" w:cs="Arial"/>
          <w:bCs/>
          <w:noProof/>
          <w:sz w:val="20"/>
          <w:szCs w:val="18"/>
          <w:lang w:val="en-US" w:eastAsia="zh-CN"/>
        </w:rPr>
        <w:t>April</w:t>
      </w:r>
      <w:r w:rsidR="00CD127A">
        <w:rPr>
          <w:rFonts w:eastAsia="Times New Roman" w:cs="Arial"/>
          <w:bCs/>
          <w:noProof/>
          <w:sz w:val="20"/>
          <w:szCs w:val="18"/>
          <w:lang w:val="en-US" w:eastAsia="zh-CN"/>
        </w:rPr>
        <w:t>,</w:t>
      </w:r>
      <w:r w:rsidR="00CD127A" w:rsidRPr="00395CD7">
        <w:rPr>
          <w:rFonts w:eastAsia="Times New Roman" w:cs="Arial"/>
          <w:bCs/>
          <w:noProof/>
          <w:sz w:val="20"/>
          <w:szCs w:val="18"/>
          <w:lang w:val="en-US" w:eastAsia="zh-CN"/>
        </w:rPr>
        <w:t xml:space="preserve">  201</w:t>
      </w:r>
      <w:r w:rsidR="00CD127A">
        <w:rPr>
          <w:rFonts w:eastAsia="Times New Roman" w:cs="Arial"/>
          <w:bCs/>
          <w:noProof/>
          <w:sz w:val="20"/>
          <w:szCs w:val="18"/>
          <w:lang w:val="en-US" w:eastAsia="zh-CN"/>
        </w:rPr>
        <w:t>6</w:t>
      </w:r>
    </w:p>
    <w:p w14:paraId="00D882E1" w14:textId="77777777" w:rsidR="00D00AE7" w:rsidRDefault="00D00AE7" w:rsidP="00D00AE7">
      <w:pPr>
        <w:pStyle w:val="TdocHeader2"/>
        <w:rPr>
          <w:sz w:val="20"/>
          <w:lang w:val="en-US"/>
        </w:rPr>
      </w:pPr>
    </w:p>
    <w:p w14:paraId="0D21A345" w14:textId="77777777" w:rsidR="00D00AE7" w:rsidRPr="008979AC" w:rsidRDefault="00D00AE7" w:rsidP="00D00AE7">
      <w:pPr>
        <w:pStyle w:val="TdocHeader2"/>
        <w:rPr>
          <w:sz w:val="20"/>
          <w:lang w:val="en-US"/>
        </w:rPr>
      </w:pPr>
      <w:r w:rsidRPr="008979AC">
        <w:rPr>
          <w:sz w:val="20"/>
          <w:lang w:val="en-US"/>
        </w:rPr>
        <w:t xml:space="preserve">Source: </w:t>
      </w:r>
      <w:r w:rsidRPr="008979AC">
        <w:rPr>
          <w:sz w:val="20"/>
          <w:lang w:val="en-US"/>
        </w:rPr>
        <w:tab/>
        <w:t>Ericsson</w:t>
      </w:r>
    </w:p>
    <w:p w14:paraId="5E814404" w14:textId="5C3C545A" w:rsidR="00D00AE7" w:rsidRPr="0027658D" w:rsidRDefault="00D00AE7" w:rsidP="00D00AE7">
      <w:pPr>
        <w:pStyle w:val="TdocHeader2"/>
        <w:rPr>
          <w:sz w:val="20"/>
          <w:lang w:val="en-US"/>
        </w:rPr>
      </w:pPr>
      <w:r w:rsidRPr="008979AC">
        <w:rPr>
          <w:sz w:val="20"/>
          <w:lang w:val="en-US"/>
        </w:rPr>
        <w:t>Title:</w:t>
      </w:r>
      <w:bookmarkStart w:id="3" w:name="Title"/>
      <w:bookmarkEnd w:id="3"/>
      <w:r w:rsidRPr="008979AC">
        <w:rPr>
          <w:sz w:val="20"/>
          <w:lang w:val="en-US"/>
        </w:rPr>
        <w:tab/>
      </w:r>
      <w:r w:rsidR="0059413D">
        <w:rPr>
          <w:sz w:val="20"/>
          <w:lang w:val="en-US"/>
        </w:rPr>
        <w:t xml:space="preserve">Feasibility of Mixing </w:t>
      </w:r>
      <w:r w:rsidR="005F599F">
        <w:rPr>
          <w:sz w:val="20"/>
          <w:lang w:val="en-US"/>
        </w:rPr>
        <w:t xml:space="preserve">Numerology </w:t>
      </w:r>
      <w:r w:rsidR="0059413D">
        <w:rPr>
          <w:sz w:val="20"/>
          <w:lang w:val="en-US"/>
        </w:rPr>
        <w:t>in an OFDM System</w:t>
      </w:r>
    </w:p>
    <w:p w14:paraId="201B2A67" w14:textId="772C02DF" w:rsidR="00D00AE7" w:rsidRPr="002D72B0" w:rsidRDefault="00D00AE7" w:rsidP="00D00AE7">
      <w:pPr>
        <w:pStyle w:val="TdocHeader2"/>
        <w:rPr>
          <w:sz w:val="20"/>
          <w:lang w:val="en-US"/>
        </w:rPr>
      </w:pPr>
      <w:r w:rsidRPr="002D72B0">
        <w:rPr>
          <w:sz w:val="20"/>
          <w:lang w:val="en-US"/>
        </w:rPr>
        <w:t>Agenda Item:</w:t>
      </w:r>
      <w:r w:rsidRPr="002D72B0">
        <w:rPr>
          <w:sz w:val="20"/>
          <w:lang w:val="en-US"/>
        </w:rPr>
        <w:tab/>
      </w:r>
      <w:r w:rsidR="00E046ED">
        <w:rPr>
          <w:bCs/>
          <w:iCs/>
          <w:sz w:val="20"/>
        </w:rPr>
        <w:t>8.1.4.1</w:t>
      </w:r>
    </w:p>
    <w:p w14:paraId="4D368497" w14:textId="77777777" w:rsidR="00D00AE7" w:rsidRPr="0027658D" w:rsidRDefault="00D00AE7" w:rsidP="00D00AE7">
      <w:pPr>
        <w:pStyle w:val="TdocHeader2"/>
        <w:rPr>
          <w:sz w:val="20"/>
          <w:lang w:val="en-US"/>
        </w:rPr>
      </w:pPr>
      <w:r>
        <w:rPr>
          <w:sz w:val="20"/>
          <w:lang w:val="en-US"/>
        </w:rPr>
        <w:t>Document for:</w:t>
      </w:r>
      <w:r>
        <w:rPr>
          <w:sz w:val="20"/>
          <w:lang w:val="en-US"/>
        </w:rPr>
        <w:tab/>
        <w:t>Discussion and Decision</w:t>
      </w:r>
    </w:p>
    <w:p w14:paraId="3F896029" w14:textId="77777777" w:rsidR="00D00AE7" w:rsidRDefault="00D00AE7" w:rsidP="004F14EE">
      <w:pPr>
        <w:pStyle w:val="Heading1"/>
        <w:pBdr>
          <w:top w:val="single" w:sz="12" w:space="0" w:color="auto"/>
        </w:pBdr>
        <w:rPr>
          <w:lang w:val="en-US"/>
        </w:rPr>
      </w:pPr>
      <w:bookmarkStart w:id="4" w:name="_Ref298777854"/>
      <w:bookmarkEnd w:id="0"/>
      <w:bookmarkEnd w:id="1"/>
      <w:r w:rsidRPr="00310B2F">
        <w:rPr>
          <w:lang w:val="en-US"/>
        </w:rPr>
        <w:t>Introduction</w:t>
      </w:r>
      <w:bookmarkEnd w:id="4"/>
    </w:p>
    <w:p w14:paraId="143ACD6E" w14:textId="3ABC773B" w:rsidR="00D00AE7" w:rsidRPr="0059413D" w:rsidRDefault="0059413D" w:rsidP="00D00AE7">
      <w:r>
        <w:t xml:space="preserve">It has been suggested that </w:t>
      </w:r>
      <w:r w:rsidR="00B8383E">
        <w:t xml:space="preserve">numerologies </w:t>
      </w:r>
      <w:r>
        <w:t xml:space="preserve">tailored for different application and services and mixing of them on the same carrier to support service mixing is beneficial for system performance. While we are not convinced that mixing of different numerologies is needed to support different service mixes this contribution shows that a slightly modified OFDM-based air interface can support numerology mixing if needed. </w:t>
      </w:r>
      <w:r w:rsidR="00D00AE7">
        <w:t xml:space="preserve"> </w:t>
      </w:r>
    </w:p>
    <w:p w14:paraId="2EE7A1D8" w14:textId="77777777" w:rsidR="00D00AE7" w:rsidRDefault="00D00AE7" w:rsidP="00D00AE7">
      <w:pPr>
        <w:pStyle w:val="Heading1"/>
      </w:pPr>
      <w:r>
        <w:t>Discussion</w:t>
      </w:r>
    </w:p>
    <w:p w14:paraId="46003447" w14:textId="6F792B2E" w:rsidR="006B03C1" w:rsidRDefault="00AC263C" w:rsidP="005A288A">
      <w:r>
        <w:t>In an OFDM system all subcarriers are orthogonal to each other. Subcarrier transfer function</w:t>
      </w:r>
      <w:r w:rsidR="006B03C1">
        <w:t>s</w:t>
      </w:r>
      <w:r>
        <w:t xml:space="preserve"> are not “brick wall” pulses but have sinc-like behaviour; orthogonality between subcarriers is achieved via properties of the waveform and not via energy-confinement </w:t>
      </w:r>
      <w:r w:rsidR="00597568">
        <w:t>to</w:t>
      </w:r>
      <w:r>
        <w:t xml:space="preserve"> a subcarrier</w:t>
      </w:r>
      <w:r w:rsidR="00597568">
        <w:t xml:space="preserve"> bandwidth</w:t>
      </w:r>
      <w:r w:rsidR="000F7836">
        <w:t xml:space="preserve"> (sinc-like since in discrete-time signal processing a rectangular pulse is not exactly a sinc-function)</w:t>
      </w:r>
      <w:r>
        <w:t xml:space="preserve">. In an OFDM system with different numerologies </w:t>
      </w:r>
      <w:r w:rsidR="006B03C1">
        <w:t xml:space="preserve">(subcarrier bandwidth and/or cyclic prefix length) </w:t>
      </w:r>
      <w:r>
        <w:t xml:space="preserve">multiplexed in frequency-domain, see </w:t>
      </w:r>
      <w:r w:rsidR="006B03C1">
        <w:fldChar w:fldCharType="begin"/>
      </w:r>
      <w:r w:rsidR="006B03C1">
        <w:instrText xml:space="preserve"> REF _Ref444254362 \h </w:instrText>
      </w:r>
      <w:r w:rsidR="006B03C1">
        <w:fldChar w:fldCharType="separate"/>
      </w:r>
      <w:r w:rsidR="006B03C1">
        <w:t xml:space="preserve">Figure </w:t>
      </w:r>
      <w:r w:rsidR="006B03C1">
        <w:rPr>
          <w:noProof/>
        </w:rPr>
        <w:t>1</w:t>
      </w:r>
      <w:r w:rsidR="006B03C1">
        <w:fldChar w:fldCharType="end"/>
      </w:r>
      <w:r>
        <w:t xml:space="preserve">, only subcarriers within </w:t>
      </w:r>
      <w:proofErr w:type="gramStart"/>
      <w:r>
        <w:t>a numerology</w:t>
      </w:r>
      <w:proofErr w:type="gramEnd"/>
      <w:r>
        <w:t xml:space="preserve"> are orthogonal to each other. Subcarriers from one numerology interfere with subcarriers from </w:t>
      </w:r>
      <w:proofErr w:type="gramStart"/>
      <w:r>
        <w:t>another numerology</w:t>
      </w:r>
      <w:proofErr w:type="gramEnd"/>
      <w:r>
        <w:t xml:space="preserve"> since </w:t>
      </w:r>
      <w:r w:rsidR="006B03C1">
        <w:t xml:space="preserve">energy leaks outside the subcarrier bandwidth and is picked up by subcarriers </w:t>
      </w:r>
      <w:r w:rsidR="00B8383E">
        <w:t>of</w:t>
      </w:r>
      <w:r w:rsidR="006B03C1">
        <w:t xml:space="preserve"> the other numerology. </w:t>
      </w:r>
    </w:p>
    <w:p w14:paraId="5983019B" w14:textId="457D5D14" w:rsidR="006B03C1" w:rsidRDefault="0049652C" w:rsidP="0049652C">
      <w:pPr>
        <w:jc w:val="center"/>
      </w:pPr>
      <w:r>
        <w:rPr>
          <w:noProof/>
          <w:lang w:val="en-US" w:eastAsia="en-US"/>
        </w:rPr>
        <w:drawing>
          <wp:inline distT="0" distB="0" distL="0" distR="0" wp14:anchorId="75689151" wp14:editId="479BD473">
            <wp:extent cx="3504910" cy="8716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xing.png"/>
                    <pic:cNvPicPr/>
                  </pic:nvPicPr>
                  <pic:blipFill>
                    <a:blip r:embed="rId9">
                      <a:extLst>
                        <a:ext uri="{28A0092B-C50C-407E-A947-70E740481C1C}">
                          <a14:useLocalDpi xmlns:a14="http://schemas.microsoft.com/office/drawing/2010/main" val="0"/>
                        </a:ext>
                      </a:extLst>
                    </a:blip>
                    <a:stretch>
                      <a:fillRect/>
                    </a:stretch>
                  </pic:blipFill>
                  <pic:spPr>
                    <a:xfrm>
                      <a:off x="0" y="0"/>
                      <a:ext cx="3504910" cy="871656"/>
                    </a:xfrm>
                    <a:prstGeom prst="rect">
                      <a:avLst/>
                    </a:prstGeom>
                  </pic:spPr>
                </pic:pic>
              </a:graphicData>
            </a:graphic>
          </wp:inline>
        </w:drawing>
      </w:r>
    </w:p>
    <w:p w14:paraId="11E1823C" w14:textId="7E33646D" w:rsidR="006B03C1" w:rsidRDefault="006B03C1" w:rsidP="006B03C1">
      <w:pPr>
        <w:pStyle w:val="Caption"/>
      </w:pPr>
      <w:bookmarkStart w:id="5" w:name="_Ref444254362"/>
      <w:r>
        <w:t xml:space="preserve">Figure </w:t>
      </w:r>
      <w:r>
        <w:fldChar w:fldCharType="begin"/>
      </w:r>
      <w:r>
        <w:instrText xml:space="preserve"> SEQ Figure \* ARABIC </w:instrText>
      </w:r>
      <w:r>
        <w:fldChar w:fldCharType="separate"/>
      </w:r>
      <w:r w:rsidR="002F505A">
        <w:rPr>
          <w:noProof/>
        </w:rPr>
        <w:t>1</w:t>
      </w:r>
      <w:r>
        <w:fldChar w:fldCharType="end"/>
      </w:r>
      <w:bookmarkEnd w:id="5"/>
      <w:r>
        <w:tab/>
        <w:t>Schematic picture of frequency-domain multiplexing of different numerologies</w:t>
      </w:r>
    </w:p>
    <w:p w14:paraId="14A09AF8" w14:textId="2D333271" w:rsidR="006B03C1" w:rsidRDefault="006B03C1" w:rsidP="005A288A">
      <w:r>
        <w:t xml:space="preserve">The sinc-like transfer functions roughly decay with </w:t>
      </w:r>
      <w:r w:rsidR="00F56C6D">
        <w:t>“1/f”</w:t>
      </w:r>
      <w:r>
        <w:t xml:space="preserve">, and substantial interference occurs between numerologies, see </w:t>
      </w:r>
      <w:r>
        <w:fldChar w:fldCharType="begin"/>
      </w:r>
      <w:r>
        <w:instrText xml:space="preserve"> REF _Ref444254375 \h </w:instrText>
      </w:r>
      <w:r>
        <w:fldChar w:fldCharType="separate"/>
      </w:r>
      <w:r>
        <w:t xml:space="preserve">Figure </w:t>
      </w:r>
      <w:r>
        <w:rPr>
          <w:noProof/>
        </w:rPr>
        <w:t>2</w:t>
      </w:r>
      <w:r>
        <w:fldChar w:fldCharType="end"/>
      </w:r>
      <w:r w:rsidR="004A0635">
        <w:t xml:space="preserve">. </w:t>
      </w:r>
      <w:r>
        <w:t>In this figure the Signal to Interference Ratio (SIR) is plotted where interference is inter-numerology interference. Simulation parameters</w:t>
      </w:r>
      <w:r w:rsidR="002F505A">
        <w:t xml:space="preserve"> are summarized in </w:t>
      </w:r>
      <w:r w:rsidR="002F505A">
        <w:fldChar w:fldCharType="begin"/>
      </w:r>
      <w:r w:rsidR="002F505A">
        <w:instrText xml:space="preserve"> REF _Ref444256902 \h </w:instrText>
      </w:r>
      <w:r w:rsidR="002F505A">
        <w:fldChar w:fldCharType="separate"/>
      </w:r>
      <w:r w:rsidR="002F505A">
        <w:t xml:space="preserve">Table </w:t>
      </w:r>
      <w:r w:rsidR="002F505A">
        <w:rPr>
          <w:noProof/>
        </w:rPr>
        <w:t>1</w:t>
      </w:r>
      <w:r w:rsidR="002F505A">
        <w:fldChar w:fldCharType="end"/>
      </w:r>
      <w:r>
        <w:t>.</w:t>
      </w:r>
      <w:r w:rsidR="00CA25B1">
        <w:t xml:space="preserve"> SIR is averaged across subcarriers within one resource block which is assumed 12 subcarriers.</w:t>
      </w:r>
      <w:r w:rsidR="004A0635">
        <w:t xml:space="preserve"> Very few resource blocks reach 35 dB.</w:t>
      </w:r>
    </w:p>
    <w:p w14:paraId="0BD6315B" w14:textId="049279D8" w:rsidR="006B03C1" w:rsidRDefault="00683DE7" w:rsidP="004A0635">
      <w:pPr>
        <w:jc w:val="center"/>
      </w:pPr>
      <w:r w:rsidRPr="00683DE7">
        <w:rPr>
          <w:noProof/>
          <w:lang w:val="en-US" w:eastAsia="en-US"/>
        </w:rPr>
        <w:lastRenderedPageBreak/>
        <w:drawing>
          <wp:inline distT="0" distB="0" distL="0" distR="0" wp14:anchorId="49C2E0BA" wp14:editId="543421F3">
            <wp:extent cx="5972810" cy="3199765"/>
            <wp:effectExtent l="0" t="0" r="889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972810" cy="3199765"/>
                    </a:xfrm>
                    <a:prstGeom prst="rect">
                      <a:avLst/>
                    </a:prstGeom>
                  </pic:spPr>
                </pic:pic>
              </a:graphicData>
            </a:graphic>
          </wp:inline>
        </w:drawing>
      </w:r>
    </w:p>
    <w:p w14:paraId="2A8C489C" w14:textId="6C3841BC" w:rsidR="0059413D" w:rsidRDefault="006B03C1" w:rsidP="006B03C1">
      <w:pPr>
        <w:pStyle w:val="Caption"/>
      </w:pPr>
      <w:r>
        <w:t xml:space="preserve"> </w:t>
      </w:r>
      <w:bookmarkStart w:id="6" w:name="_Ref444254375"/>
      <w:r>
        <w:t xml:space="preserve">Figure </w:t>
      </w:r>
      <w:r>
        <w:fldChar w:fldCharType="begin"/>
      </w:r>
      <w:r>
        <w:instrText xml:space="preserve"> SEQ Figure \* ARABIC </w:instrText>
      </w:r>
      <w:r>
        <w:fldChar w:fldCharType="separate"/>
      </w:r>
      <w:r w:rsidR="002F505A">
        <w:rPr>
          <w:noProof/>
        </w:rPr>
        <w:t>2</w:t>
      </w:r>
      <w:r>
        <w:fldChar w:fldCharType="end"/>
      </w:r>
      <w:bookmarkEnd w:id="6"/>
      <w:r>
        <w:tab/>
        <w:t>SIR in an OFDM system where two numerologies are mixed</w:t>
      </w:r>
    </w:p>
    <w:p w14:paraId="62CA41D7" w14:textId="442842A9" w:rsidR="0059413D" w:rsidRDefault="00C72FFB" w:rsidP="005A288A">
      <w:r>
        <w:t xml:space="preserve">To improve performance energy leakage </w:t>
      </w:r>
      <w:proofErr w:type="gramStart"/>
      <w:r>
        <w:t>from one numerology</w:t>
      </w:r>
      <w:proofErr w:type="gramEnd"/>
      <w:r>
        <w:t xml:space="preserve"> into the other numerology must be reduced. In an OFDM system this can be achieved by either applying time-domain filtering per numerology (sub-band) or time-domain windowing. Sub-band filtering reduces the aggregated interference </w:t>
      </w:r>
      <w:proofErr w:type="gramStart"/>
      <w:r>
        <w:t>from one numerology</w:t>
      </w:r>
      <w:proofErr w:type="gramEnd"/>
      <w:r>
        <w:t xml:space="preserve"> to the other without affecting the subcarrier transfer function. Windowing </w:t>
      </w:r>
      <w:proofErr w:type="gramStart"/>
      <w:r>
        <w:t>smoothens</w:t>
      </w:r>
      <w:proofErr w:type="gramEnd"/>
      <w:r>
        <w:t xml:space="preserve"> the edges of the rectangular OFDM pulse-shape and thus modifies each subcarrier’s transfer function to decay faster than </w:t>
      </w:r>
      <w:r w:rsidR="00F56C6D">
        <w:t>“1/f”</w:t>
      </w:r>
      <w:r>
        <w:t xml:space="preserve">. While both filtering and windowing enable frequency-domain multiplexing we focus in this contribution on windowing. </w:t>
      </w:r>
    </w:p>
    <w:p w14:paraId="4DE4D75A" w14:textId="101063DF" w:rsidR="006B03C1" w:rsidRDefault="00C72FFB" w:rsidP="00C72FFB">
      <w:pPr>
        <w:pStyle w:val="Heading2"/>
      </w:pPr>
      <w:r>
        <w:t>Windowing</w:t>
      </w:r>
    </w:p>
    <w:p w14:paraId="5C935E72" w14:textId="4B6054EF" w:rsidR="00F56C6D" w:rsidRDefault="00F56C6D" w:rsidP="00F56C6D">
      <w:pPr>
        <w:pStyle w:val="BodyText"/>
      </w:pPr>
      <w:r>
        <w:t>Windowing can be applied at TX and/or RX side independent of each other. In this section we describe both schemes.</w:t>
      </w:r>
      <w:r w:rsidR="00F727E7">
        <w:t xml:space="preserve"> We focus on Zipper approach that was proposed for VDSL some 15 years ago </w:t>
      </w:r>
      <w:r w:rsidR="00F727E7">
        <w:fldChar w:fldCharType="begin"/>
      </w:r>
      <w:r w:rsidR="00F727E7">
        <w:instrText xml:space="preserve"> REF _Ref444257346 \r \h </w:instrText>
      </w:r>
      <w:r w:rsidR="00F727E7">
        <w:fldChar w:fldCharType="separate"/>
      </w:r>
      <w:r w:rsidR="00F727E7">
        <w:t>[1]</w:t>
      </w:r>
      <w:r w:rsidR="00F727E7">
        <w:fldChar w:fldCharType="end"/>
      </w:r>
      <w:r w:rsidR="00F727E7">
        <w:t>.</w:t>
      </w:r>
    </w:p>
    <w:p w14:paraId="1E13604C" w14:textId="1C9B1ABA" w:rsidR="00F56C6D" w:rsidRDefault="00F56C6D" w:rsidP="00F56C6D">
      <w:pPr>
        <w:pStyle w:val="Heading3"/>
      </w:pPr>
      <w:r>
        <w:t>TX windowing</w:t>
      </w:r>
    </w:p>
    <w:p w14:paraId="6862094A" w14:textId="167A8424" w:rsidR="00F56C6D" w:rsidRPr="0039784F" w:rsidRDefault="00F56C6D" w:rsidP="00F56C6D">
      <w:pPr>
        <w:pStyle w:val="BodyText"/>
      </w:pPr>
      <w:r>
        <w:t xml:space="preserve">The main reason for the slow “1/f” decay of OFDM spectrum is signal discontinuities at OFDM symbol boundaries: Since OFDM symbols are independent from each other amplitude and phase at the end of OFDM symbol </w:t>
      </w:r>
      <w:r w:rsidRPr="004275D3">
        <w:rPr>
          <w:i/>
        </w:rPr>
        <w:t>n-1</w:t>
      </w:r>
      <w:r>
        <w:t xml:space="preserve"> are different from amplitude and phase at the beginning of OFDM symbol </w:t>
      </w:r>
      <w:r w:rsidRPr="004275D3">
        <w:rPr>
          <w:i/>
        </w:rPr>
        <w:t>n</w:t>
      </w:r>
      <w:r>
        <w:t xml:space="preserve"> leading to a signal discontinuity. This signal discontinuity is largely responsible for the slow spectrum decay in OFDM.</w:t>
      </w:r>
    </w:p>
    <w:p w14:paraId="140B593E" w14:textId="752C194A" w:rsidR="00F56C6D" w:rsidRDefault="00F56C6D" w:rsidP="00F56C6D">
      <w:pPr>
        <w:pStyle w:val="BodyText"/>
      </w:pPr>
      <w:r>
        <w:t xml:space="preserve">With TX windowing the boundaries of each OFDM symbol are multiplied with a smooth slope in time-domain, increasing smoothly from 0 to 1 (increasing slope) or 1 to 0 (decreasing slope), </w:t>
      </w:r>
      <w:proofErr w:type="gramStart"/>
      <w:r>
        <w:t>see</w:t>
      </w:r>
      <w:r w:rsidR="000F7836">
        <w:t xml:space="preserve"> </w:t>
      </w:r>
      <w:r w:rsidR="000F7836">
        <w:fldChar w:fldCharType="begin"/>
      </w:r>
      <w:r w:rsidR="000F7836">
        <w:instrText xml:space="preserve"> REF _Ref444255557 \h </w:instrText>
      </w:r>
      <w:r w:rsidR="000F7836">
        <w:fldChar w:fldCharType="separate"/>
      </w:r>
      <w:r w:rsidR="000F7836">
        <w:t>Figure</w:t>
      </w:r>
      <w:proofErr w:type="gramEnd"/>
      <w:r w:rsidR="000F7836">
        <w:t xml:space="preserve"> </w:t>
      </w:r>
      <w:r w:rsidR="000F7836">
        <w:rPr>
          <w:noProof/>
        </w:rPr>
        <w:t>3</w:t>
      </w:r>
      <w:r w:rsidR="000F7836">
        <w:fldChar w:fldCharType="end"/>
      </w:r>
      <w:r>
        <w:t xml:space="preserve">. The increasing slope is applied at the beginning of the cyclic prefix while the decreasing slope is applied after the end of the core OFDM symbol within an extra added cyclic suffix. </w:t>
      </w:r>
    </w:p>
    <w:p w14:paraId="126B4E95" w14:textId="77777777" w:rsidR="00F56C6D" w:rsidRDefault="00F56C6D" w:rsidP="00F56C6D">
      <w:pPr>
        <w:pStyle w:val="BodyText"/>
        <w:jc w:val="center"/>
      </w:pPr>
      <w:r>
        <w:rPr>
          <w:noProof/>
          <w:lang w:val="en-US" w:eastAsia="en-US"/>
        </w:rPr>
        <w:lastRenderedPageBreak/>
        <w:drawing>
          <wp:inline distT="0" distB="0" distL="0" distR="0" wp14:anchorId="12304331" wp14:editId="608E7934">
            <wp:extent cx="5140800" cy="24228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fdm-txwindow.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140800" cy="2422800"/>
                    </a:xfrm>
                    <a:prstGeom prst="rect">
                      <a:avLst/>
                    </a:prstGeom>
                  </pic:spPr>
                </pic:pic>
              </a:graphicData>
            </a:graphic>
          </wp:inline>
        </w:drawing>
      </w:r>
    </w:p>
    <w:p w14:paraId="54B6DB33" w14:textId="6F2B3FA7" w:rsidR="000F7836" w:rsidRDefault="000F7836" w:rsidP="000F7836">
      <w:pPr>
        <w:pStyle w:val="Caption"/>
      </w:pPr>
      <w:bookmarkStart w:id="7" w:name="_Ref444255557"/>
      <w:r>
        <w:t xml:space="preserve">Figure </w:t>
      </w:r>
      <w:r>
        <w:fldChar w:fldCharType="begin"/>
      </w:r>
      <w:r>
        <w:instrText xml:space="preserve"> SEQ Figure \* ARABIC </w:instrText>
      </w:r>
      <w:r>
        <w:fldChar w:fldCharType="separate"/>
      </w:r>
      <w:r w:rsidR="002F505A">
        <w:rPr>
          <w:noProof/>
        </w:rPr>
        <w:t>3</w:t>
      </w:r>
      <w:r>
        <w:fldChar w:fldCharType="end"/>
      </w:r>
      <w:bookmarkEnd w:id="7"/>
      <w:r>
        <w:tab/>
        <w:t>TX windowing</w:t>
      </w:r>
    </w:p>
    <w:p w14:paraId="0B255054" w14:textId="7C784FBE" w:rsidR="00F56C6D" w:rsidRDefault="000F7836" w:rsidP="00F56C6D">
      <w:pPr>
        <w:pStyle w:val="BodyText"/>
      </w:pPr>
      <w:r>
        <w:fldChar w:fldCharType="begin"/>
      </w:r>
      <w:r>
        <w:instrText xml:space="preserve"> REF _Ref444255557 \h </w:instrText>
      </w:r>
      <w:r>
        <w:fldChar w:fldCharType="separate"/>
      </w:r>
      <w:r>
        <w:t xml:space="preserve">Figure </w:t>
      </w:r>
      <w:r>
        <w:rPr>
          <w:noProof/>
        </w:rPr>
        <w:t>3</w:t>
      </w:r>
      <w:r>
        <w:fldChar w:fldCharType="end"/>
      </w:r>
      <w:r>
        <w:t xml:space="preserve"> </w:t>
      </w:r>
      <w:r w:rsidR="00F56C6D">
        <w:t xml:space="preserve">also shows that the increasing slope of the next OFDM symbol overlaps with the decreasing slope of the previous OFDM symbol. This is possible since the receiver discards the windowed samples (it only keeps the core OFDM symbol) and overlapping reduces overhead. Since the receiver keeps only the samples of the core OFDM symbol TX windowing is transparent to the receiver.  </w:t>
      </w:r>
    </w:p>
    <w:p w14:paraId="1DB4CC87" w14:textId="77777777" w:rsidR="000F7836" w:rsidRDefault="00F56C6D" w:rsidP="000F7836">
      <w:pPr>
        <w:pStyle w:val="BodyText"/>
      </w:pPr>
      <w:r>
        <w:t>The remaining cyclic prefix length to cover linear dispersions created by multi-path propagation, filtering operations, etc. is reduced by the duration of a single slope (the decreasing slope is done within an extra added cyclic suffix that overlaps with the increasing slope of the next OFDM symbol and cyclic prefix reduction is thus already encountered for) compared to non-windowed OFDM system with the same cyclic prefix overhead.</w:t>
      </w:r>
      <w:bookmarkStart w:id="8" w:name="_Ref436734042"/>
    </w:p>
    <w:p w14:paraId="31466EEE" w14:textId="3C171FE0" w:rsidR="00F56C6D" w:rsidRDefault="00F56C6D" w:rsidP="000F7836">
      <w:pPr>
        <w:pStyle w:val="Heading3"/>
      </w:pPr>
      <w:r>
        <w:t>RX windowing</w:t>
      </w:r>
      <w:bookmarkEnd w:id="8"/>
    </w:p>
    <w:p w14:paraId="761A6086" w14:textId="37D31F46" w:rsidR="00F56C6D" w:rsidRDefault="00F56C6D" w:rsidP="00F56C6D">
      <w:pPr>
        <w:pStyle w:val="BodyText"/>
      </w:pPr>
      <w:r>
        <w:t xml:space="preserve">A standard OFDM receiver “cuts out” the desired OFDM symbol period by applying a rectangular window in time-domain to the received signal and subsequently applies an FFT (the rectangular window is part of the FFT operation). Application of a rectangular window in time-domain corresponds to convolution in frequency-domain with a sinc-like function. The sinc-like function leads to high interference pick-up from adjacent non-orthogonal signals such as OFDM signals with other numerologies. To reduce interference pick-up the rectangular window must be replaced by a smooth window function. To this end a smooth increasing window slope is applied at the boundary between cyclic prefix and core OFDM symbol (half within cyclic prefix and half within core OFDM symbol); </w:t>
      </w:r>
      <w:proofErr w:type="gramStart"/>
      <w:r>
        <w:t>a  decreasing</w:t>
      </w:r>
      <w:proofErr w:type="gramEnd"/>
      <w:r>
        <w:t xml:space="preserve"> smooth window slope is applied at the boundary between core OFDM symbol and added cyclic suffix, see</w:t>
      </w:r>
      <w:r w:rsidR="000F7836">
        <w:t xml:space="preserve"> </w:t>
      </w:r>
      <w:r w:rsidR="000F7836">
        <w:fldChar w:fldCharType="begin"/>
      </w:r>
      <w:r w:rsidR="000F7836">
        <w:instrText xml:space="preserve"> REF _Ref444255823 \h </w:instrText>
      </w:r>
      <w:r w:rsidR="000F7836">
        <w:fldChar w:fldCharType="separate"/>
      </w:r>
      <w:r w:rsidR="000F7836">
        <w:t xml:space="preserve">Figure </w:t>
      </w:r>
      <w:r w:rsidR="000F7836">
        <w:rPr>
          <w:noProof/>
        </w:rPr>
        <w:t>4</w:t>
      </w:r>
      <w:r w:rsidR="000F7836">
        <w:fldChar w:fldCharType="end"/>
      </w:r>
      <w:r>
        <w:t xml:space="preserve">. </w:t>
      </w:r>
    </w:p>
    <w:p w14:paraId="6CF5DA21" w14:textId="43B178DA" w:rsidR="00F56C6D" w:rsidRDefault="00F56C6D" w:rsidP="00F56C6D">
      <w:pPr>
        <w:pStyle w:val="BodyText"/>
      </w:pPr>
      <w:r>
        <w:t>This operation corresponds in frequency-domain to a convolution with the Fourier transform of the RX window (cyan-</w:t>
      </w:r>
      <w:r w:rsidR="00B76D9B">
        <w:t>coloured</w:t>
      </w:r>
      <w:r>
        <w:t xml:space="preserve"> window function in </w:t>
      </w:r>
      <w:r w:rsidR="000F7836">
        <w:fldChar w:fldCharType="begin"/>
      </w:r>
      <w:r w:rsidR="000F7836">
        <w:instrText xml:space="preserve"> REF _Ref444255823 \h </w:instrText>
      </w:r>
      <w:r w:rsidR="000F7836">
        <w:fldChar w:fldCharType="separate"/>
      </w:r>
      <w:r w:rsidR="000F7836">
        <w:t xml:space="preserve">Figure </w:t>
      </w:r>
      <w:r w:rsidR="000F7836">
        <w:rPr>
          <w:noProof/>
        </w:rPr>
        <w:t>4</w:t>
      </w:r>
      <w:r w:rsidR="000F7836">
        <w:fldChar w:fldCharType="end"/>
      </w:r>
      <w:proofErr w:type="gramStart"/>
      <w:r>
        <w:t>a which</w:t>
      </w:r>
      <w:proofErr w:type="gramEnd"/>
      <w:r>
        <w:t xml:space="preserve"> spectrum decays faster than that of a rectangular pulse and thus leads to reduced interference pick-up. As a side effect the windowing operation destroys orthogonality among subcarriers </w:t>
      </w:r>
      <w:proofErr w:type="gramStart"/>
      <w:r>
        <w:t>within one numerology</w:t>
      </w:r>
      <w:proofErr w:type="gramEnd"/>
      <w:r>
        <w:t xml:space="preserve"> since windowing is partly done within the core OFDM symbol. If the applied window slopes </w:t>
      </w:r>
      <w:r w:rsidR="000F7836">
        <w:t>fulfil</w:t>
      </w:r>
      <w:r>
        <w:t xml:space="preserve"> the </w:t>
      </w:r>
      <w:proofErr w:type="spellStart"/>
      <w:r>
        <w:t>Nyquist</w:t>
      </w:r>
      <w:proofErr w:type="spellEnd"/>
      <w:r>
        <w:t xml:space="preserve"> criteria (i.e. they are </w:t>
      </w:r>
      <w:r w:rsidR="00B76D9B">
        <w:t>centre</w:t>
      </w:r>
      <w:r>
        <w:t xml:space="preserve"> asymmetric) the signal part cut away by the decreasing windowing slope (indicated by the upper-right orange triangle in </w:t>
      </w:r>
      <w:r w:rsidR="000F7836">
        <w:fldChar w:fldCharType="begin"/>
      </w:r>
      <w:r w:rsidR="000F7836">
        <w:instrText xml:space="preserve"> REF _Ref444255823 \h </w:instrText>
      </w:r>
      <w:r w:rsidR="000F7836">
        <w:fldChar w:fldCharType="separate"/>
      </w:r>
      <w:r w:rsidR="000F7836">
        <w:t xml:space="preserve">Figure </w:t>
      </w:r>
      <w:r w:rsidR="000F7836">
        <w:rPr>
          <w:noProof/>
        </w:rPr>
        <w:t>4</w:t>
      </w:r>
      <w:r w:rsidR="000F7836">
        <w:fldChar w:fldCharType="end"/>
      </w:r>
      <w:r w:rsidR="000F7836">
        <w:t>b</w:t>
      </w:r>
      <w:r>
        <w:t xml:space="preserve"> is the same as the remaining signal part after application of the increasing window slope within the cyclic prefix (indicated by the lower-left orange triangle in </w:t>
      </w:r>
      <w:r w:rsidR="000F7836">
        <w:fldChar w:fldCharType="begin"/>
      </w:r>
      <w:r w:rsidR="000F7836">
        <w:instrText xml:space="preserve"> REF _Ref444255823 \h </w:instrText>
      </w:r>
      <w:r w:rsidR="000F7836">
        <w:fldChar w:fldCharType="separate"/>
      </w:r>
      <w:r w:rsidR="000F7836">
        <w:t xml:space="preserve">Figure </w:t>
      </w:r>
      <w:r w:rsidR="000F7836">
        <w:rPr>
          <w:noProof/>
        </w:rPr>
        <w:t>4</w:t>
      </w:r>
      <w:r w:rsidR="000F7836">
        <w:fldChar w:fldCharType="end"/>
      </w:r>
      <w:r w:rsidR="000F7836">
        <w:t>b</w:t>
      </w:r>
      <w:r>
        <w:t xml:space="preserve"> since the cyclic prefix is a copy of the last part of OFDM symbol. If the windowed cyclic prefix part (lower-left orange triangular in </w:t>
      </w:r>
      <w:r w:rsidR="000F7836">
        <w:fldChar w:fldCharType="begin"/>
      </w:r>
      <w:r w:rsidR="000F7836">
        <w:instrText xml:space="preserve"> REF _Ref444255823 \h </w:instrText>
      </w:r>
      <w:r w:rsidR="000F7836">
        <w:fldChar w:fldCharType="separate"/>
      </w:r>
      <w:r w:rsidR="000F7836">
        <w:t xml:space="preserve">Figure </w:t>
      </w:r>
      <w:r w:rsidR="000F7836">
        <w:rPr>
          <w:noProof/>
        </w:rPr>
        <w:t>4</w:t>
      </w:r>
      <w:r w:rsidR="000F7836">
        <w:fldChar w:fldCharType="end"/>
      </w:r>
      <w:r w:rsidR="000F7836">
        <w:t>b</w:t>
      </w:r>
      <w:r>
        <w:t xml:space="preserve"> is added to the last part of the core OFDM symbol the core OFDM symbol is restored at its second boundary. The core OFDM symbol can also be restored at the first symbol boundary by applying the same trick, i.e. adding windowed cyclic suffix (lower-right red triangle in </w:t>
      </w:r>
      <w:r w:rsidR="000F7836">
        <w:fldChar w:fldCharType="begin"/>
      </w:r>
      <w:r w:rsidR="000F7836">
        <w:instrText xml:space="preserve"> REF _Ref444255823 \h </w:instrText>
      </w:r>
      <w:r w:rsidR="000F7836">
        <w:fldChar w:fldCharType="separate"/>
      </w:r>
      <w:r w:rsidR="000F7836">
        <w:t xml:space="preserve">Figure </w:t>
      </w:r>
      <w:r w:rsidR="000F7836">
        <w:rPr>
          <w:noProof/>
        </w:rPr>
        <w:t>4</w:t>
      </w:r>
      <w:r w:rsidR="000F7836">
        <w:fldChar w:fldCharType="end"/>
      </w:r>
      <w:r w:rsidR="000F7836">
        <w:t>b</w:t>
      </w:r>
      <w:r>
        <w:t xml:space="preserve"> to the beginning of the core OFDM symbol. Now the complete OFDM is restored and subcarriers are orthogonal again. The FFT is applied to the restored core OFDM symbol as indicated in </w:t>
      </w:r>
      <w:r w:rsidR="000F7836">
        <w:fldChar w:fldCharType="begin"/>
      </w:r>
      <w:r w:rsidR="000F7836">
        <w:instrText xml:space="preserve"> REF _Ref444255823 \h </w:instrText>
      </w:r>
      <w:r w:rsidR="000F7836">
        <w:fldChar w:fldCharType="separate"/>
      </w:r>
      <w:r w:rsidR="000F7836">
        <w:t xml:space="preserve">Figure </w:t>
      </w:r>
      <w:r w:rsidR="000F7836">
        <w:rPr>
          <w:noProof/>
        </w:rPr>
        <w:t>4</w:t>
      </w:r>
      <w:r w:rsidR="000F7836">
        <w:fldChar w:fldCharType="end"/>
      </w:r>
      <w:r w:rsidR="000F7836">
        <w:t>b</w:t>
      </w:r>
      <w:r>
        <w:t>. Interference pick-up remains reduced as long as the interference does not have a periodicity equal to the OFDM symbol duration.</w:t>
      </w:r>
    </w:p>
    <w:tbl>
      <w:tblPr>
        <w:tblStyle w:val="TableGrid"/>
        <w:tblW w:w="0" w:type="auto"/>
        <w:tblInd w:w="13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51"/>
      </w:tblGrid>
      <w:tr w:rsidR="00F56C6D" w14:paraId="73289B7F" w14:textId="77777777" w:rsidTr="00C96658">
        <w:tc>
          <w:tcPr>
            <w:tcW w:w="10365" w:type="dxa"/>
          </w:tcPr>
          <w:p w14:paraId="2EBE21F2" w14:textId="77777777" w:rsidR="00F56C6D" w:rsidRDefault="00F56C6D" w:rsidP="00C96658">
            <w:pPr>
              <w:pStyle w:val="BodyText"/>
              <w:jc w:val="center"/>
            </w:pPr>
            <w:r>
              <w:rPr>
                <w:noProof/>
                <w:lang w:val="en-US" w:eastAsia="en-US"/>
              </w:rPr>
              <w:lastRenderedPageBreak/>
              <w:drawing>
                <wp:inline distT="0" distB="0" distL="0" distR="0" wp14:anchorId="54CCA7E4" wp14:editId="4A51B42A">
                  <wp:extent cx="4206240" cy="213531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ndowing-rxwindow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206240" cy="2135311"/>
                          </a:xfrm>
                          <a:prstGeom prst="rect">
                            <a:avLst/>
                          </a:prstGeom>
                        </pic:spPr>
                      </pic:pic>
                    </a:graphicData>
                  </a:graphic>
                </wp:inline>
              </w:drawing>
            </w:r>
          </w:p>
          <w:p w14:paraId="4F29016D" w14:textId="77777777" w:rsidR="00F56C6D" w:rsidRDefault="00F56C6D" w:rsidP="00C96658">
            <w:pPr>
              <w:pStyle w:val="BodyText"/>
              <w:jc w:val="center"/>
            </w:pPr>
            <w:r>
              <w:t>a)</w:t>
            </w:r>
          </w:p>
        </w:tc>
      </w:tr>
      <w:tr w:rsidR="00F56C6D" w14:paraId="5AED527D" w14:textId="77777777" w:rsidTr="00C96658">
        <w:tc>
          <w:tcPr>
            <w:tcW w:w="10365" w:type="dxa"/>
          </w:tcPr>
          <w:p w14:paraId="77E23C5D" w14:textId="77777777" w:rsidR="00F56C6D" w:rsidRDefault="00F56C6D" w:rsidP="00C96658">
            <w:pPr>
              <w:pStyle w:val="BodyText"/>
              <w:jc w:val="center"/>
            </w:pPr>
            <w:r>
              <w:rPr>
                <w:noProof/>
                <w:lang w:val="en-US" w:eastAsia="en-US"/>
              </w:rPr>
              <w:drawing>
                <wp:inline distT="0" distB="0" distL="0" distR="0" wp14:anchorId="3B797D09" wp14:editId="3EBE8A93">
                  <wp:extent cx="4206240" cy="2615464"/>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ndowing-rxwindow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06240" cy="2615464"/>
                          </a:xfrm>
                          <a:prstGeom prst="rect">
                            <a:avLst/>
                          </a:prstGeom>
                        </pic:spPr>
                      </pic:pic>
                    </a:graphicData>
                  </a:graphic>
                </wp:inline>
              </w:drawing>
            </w:r>
          </w:p>
          <w:p w14:paraId="3D32A4E9" w14:textId="77777777" w:rsidR="00F56C6D" w:rsidRDefault="00F56C6D" w:rsidP="00C96658">
            <w:pPr>
              <w:pStyle w:val="BodyText"/>
              <w:jc w:val="center"/>
            </w:pPr>
            <w:r>
              <w:t>b)</w:t>
            </w:r>
          </w:p>
        </w:tc>
      </w:tr>
    </w:tbl>
    <w:p w14:paraId="5D826910" w14:textId="6E8CE7BA" w:rsidR="00F56C6D" w:rsidRDefault="000F7836" w:rsidP="000F7836">
      <w:pPr>
        <w:pStyle w:val="Caption"/>
      </w:pPr>
      <w:bookmarkStart w:id="9" w:name="_Ref444255823"/>
      <w:r>
        <w:t xml:space="preserve">Figure </w:t>
      </w:r>
      <w:r>
        <w:fldChar w:fldCharType="begin"/>
      </w:r>
      <w:r>
        <w:instrText xml:space="preserve"> SEQ Figure \* ARABIC </w:instrText>
      </w:r>
      <w:r>
        <w:fldChar w:fldCharType="separate"/>
      </w:r>
      <w:r w:rsidR="002F505A">
        <w:rPr>
          <w:noProof/>
        </w:rPr>
        <w:t>4</w:t>
      </w:r>
      <w:r>
        <w:fldChar w:fldCharType="end"/>
      </w:r>
      <w:bookmarkEnd w:id="9"/>
      <w:r>
        <w:tab/>
        <w:t xml:space="preserve">Schematic illustration of RX windowing. a) Smooth window slopes are applied at the boundaries between cyclic prefix/core OFDM symbol and core OFDM symbol/cyclic suffix. b) If the RX window slopes </w:t>
      </w:r>
      <w:r w:rsidR="00B76D9B">
        <w:t>fulfil</w:t>
      </w:r>
      <w:r>
        <w:t xml:space="preserve"> the </w:t>
      </w:r>
      <w:proofErr w:type="spellStart"/>
      <w:r>
        <w:t>Nyqist</w:t>
      </w:r>
      <w:proofErr w:type="spellEnd"/>
      <w:r>
        <w:t xml:space="preserve"> criteria the core OFDM symbol can be restored by adding the windowed cyclic extensions to the core OFDM symbol.</w:t>
      </w:r>
      <w:r w:rsidR="00F56C6D">
        <w:t xml:space="preserve"> </w:t>
      </w:r>
    </w:p>
    <w:p w14:paraId="36D56000" w14:textId="0854675F" w:rsidR="00F56C6D" w:rsidRDefault="00F56C6D" w:rsidP="000F7836">
      <w:pPr>
        <w:pStyle w:val="Heading3"/>
      </w:pPr>
      <w:r>
        <w:t>Combined TX and RX windowing</w:t>
      </w:r>
    </w:p>
    <w:p w14:paraId="5F266A6A" w14:textId="29B0CBF5" w:rsidR="006B03C1" w:rsidRDefault="00F56C6D" w:rsidP="000F7836">
      <w:pPr>
        <w:pStyle w:val="BodyText"/>
      </w:pPr>
      <w:r>
        <w:t>TX and RX windowing are independent of each other. The remaining cyclic prefix length to cover linear dispersions created by multi-path propagation, filtering operations, etc. is reduced by the duration of a single TX and RX window slope compared to non-windowed OFDM system with the same cyclic prefix overhead.</w:t>
      </w:r>
    </w:p>
    <w:p w14:paraId="2F9CFB04" w14:textId="34569A47" w:rsidR="000F7836" w:rsidRDefault="000F7836" w:rsidP="000F7836">
      <w:pPr>
        <w:pStyle w:val="Heading3"/>
      </w:pPr>
      <w:r>
        <w:t>Complexity</w:t>
      </w:r>
    </w:p>
    <w:p w14:paraId="796956C1" w14:textId="6EA48EE7" w:rsidR="000F7836" w:rsidRPr="000F7836" w:rsidRDefault="000F7836" w:rsidP="000F7836">
      <w:r>
        <w:t>Windowing has extremely low complexity. Only the window</w:t>
      </w:r>
      <w:r w:rsidR="00B8383E">
        <w:t>ed samples</w:t>
      </w:r>
      <w:r>
        <w:t xml:space="preserve"> </w:t>
      </w:r>
      <w:r w:rsidR="00B8383E">
        <w:t>must</w:t>
      </w:r>
      <w:r>
        <w:t xml:space="preserve"> be </w:t>
      </w:r>
      <w:r w:rsidR="00B8383E">
        <w:t>scaled</w:t>
      </w:r>
      <w:r>
        <w:t xml:space="preserve"> and overlap-and-add over the windowed periods must be performed.</w:t>
      </w:r>
    </w:p>
    <w:p w14:paraId="5FCD52BA" w14:textId="0E931F44" w:rsidR="006B03C1" w:rsidRDefault="000F7836" w:rsidP="000F7836">
      <w:pPr>
        <w:pStyle w:val="Heading3"/>
      </w:pPr>
      <w:r>
        <w:t>Simulation Results</w:t>
      </w:r>
    </w:p>
    <w:p w14:paraId="6C12BEEE" w14:textId="0E14E6F7" w:rsidR="00793DF1" w:rsidRDefault="002F505A" w:rsidP="00793DF1">
      <w:r>
        <w:fldChar w:fldCharType="begin"/>
      </w:r>
      <w:r>
        <w:instrText xml:space="preserve"> REF _Ref444256878 \h </w:instrText>
      </w:r>
      <w:r>
        <w:fldChar w:fldCharType="separate"/>
      </w:r>
      <w:r>
        <w:t xml:space="preserve">Figure </w:t>
      </w:r>
      <w:r>
        <w:rPr>
          <w:noProof/>
        </w:rPr>
        <w:t>5</w:t>
      </w:r>
      <w:r>
        <w:fldChar w:fldCharType="end"/>
      </w:r>
      <w:r>
        <w:t xml:space="preserve"> </w:t>
      </w:r>
      <w:r w:rsidR="000F7836">
        <w:t xml:space="preserve">compares SIR in an OFDM system without windowing (same as </w:t>
      </w:r>
      <w:r w:rsidR="00B8383E">
        <w:t xml:space="preserve">in </w:t>
      </w:r>
      <w:r w:rsidR="000F7836">
        <w:fldChar w:fldCharType="begin"/>
      </w:r>
      <w:r w:rsidR="000F7836">
        <w:instrText xml:space="preserve"> REF _Ref444254375 \h </w:instrText>
      </w:r>
      <w:r w:rsidR="000F7836">
        <w:fldChar w:fldCharType="separate"/>
      </w:r>
      <w:r w:rsidR="000F7836">
        <w:t xml:space="preserve">Figure </w:t>
      </w:r>
      <w:r w:rsidR="000F7836">
        <w:rPr>
          <w:noProof/>
        </w:rPr>
        <w:t>2</w:t>
      </w:r>
      <w:r w:rsidR="000F7836">
        <w:fldChar w:fldCharType="end"/>
      </w:r>
      <w:r w:rsidR="000F7836">
        <w:t xml:space="preserve">) and with TX and RX windowing. The simulation parameters for both setups are provided in </w:t>
      </w:r>
      <w:r>
        <w:fldChar w:fldCharType="begin"/>
      </w:r>
      <w:r>
        <w:instrText xml:space="preserve"> REF _Ref444256902 \h </w:instrText>
      </w:r>
      <w:r>
        <w:fldChar w:fldCharType="separate"/>
      </w:r>
      <w:r>
        <w:t xml:space="preserve">Table </w:t>
      </w:r>
      <w:r>
        <w:rPr>
          <w:noProof/>
        </w:rPr>
        <w:t>1</w:t>
      </w:r>
      <w:r>
        <w:fldChar w:fldCharType="end"/>
      </w:r>
      <w:r w:rsidR="000F7836">
        <w:t>. It can be observed that windowing substantially increases the achievable SIR.</w:t>
      </w:r>
      <w:r w:rsidR="00CA25B1">
        <w:t xml:space="preserve"> SIR is averaged across subcarriers within one resource block which is assumed 12 subcarriers.</w:t>
      </w:r>
      <w:r w:rsidR="00793DF1">
        <w:t xml:space="preserve"> All resource blocks except </w:t>
      </w:r>
      <w:r w:rsidR="001B613A">
        <w:t>3</w:t>
      </w:r>
      <w:r w:rsidR="00793DF1">
        <w:t xml:space="preserve"> wideband and </w:t>
      </w:r>
      <w:r w:rsidR="001B613A">
        <w:t>2</w:t>
      </w:r>
      <w:r w:rsidR="00793DF1">
        <w:t xml:space="preserve"> narrowband experience an SIR of 30 dB and above</w:t>
      </w:r>
      <w:r w:rsidR="009053B0">
        <w:t xml:space="preserve"> with combined TX/RX windowing of length 12</w:t>
      </w:r>
      <w:r w:rsidR="00793DF1">
        <w:t>.</w:t>
      </w:r>
    </w:p>
    <w:p w14:paraId="3D231E30" w14:textId="50A005DE" w:rsidR="000F7836" w:rsidRDefault="00CA25B1" w:rsidP="000F7836">
      <w:r>
        <w:t xml:space="preserve"> </w:t>
      </w:r>
    </w:p>
    <w:p w14:paraId="11B5E740" w14:textId="5127C91E" w:rsidR="000F7836" w:rsidRDefault="000F7836" w:rsidP="002F505A">
      <w:pPr>
        <w:pStyle w:val="Caption"/>
      </w:pPr>
      <w:bookmarkStart w:id="10" w:name="_Ref444256902"/>
      <w:r>
        <w:lastRenderedPageBreak/>
        <w:t xml:space="preserve">Table </w:t>
      </w:r>
      <w:r>
        <w:fldChar w:fldCharType="begin"/>
      </w:r>
      <w:r>
        <w:instrText xml:space="preserve"> SEQ Table \* ARABIC </w:instrText>
      </w:r>
      <w:r>
        <w:fldChar w:fldCharType="separate"/>
      </w:r>
      <w:r>
        <w:rPr>
          <w:noProof/>
        </w:rPr>
        <w:t>1</w:t>
      </w:r>
      <w:r>
        <w:fldChar w:fldCharType="end"/>
      </w:r>
      <w:bookmarkEnd w:id="10"/>
      <w:r>
        <w:tab/>
        <w:t>Simulation parameters</w:t>
      </w:r>
    </w:p>
    <w:tbl>
      <w:tblPr>
        <w:tblStyle w:val="TableGrid"/>
        <w:tblW w:w="0" w:type="auto"/>
        <w:tblInd w:w="1304" w:type="dxa"/>
        <w:tblLook w:val="04A0" w:firstRow="1" w:lastRow="0" w:firstColumn="1" w:lastColumn="0" w:noHBand="0" w:noVBand="1"/>
      </w:tblPr>
      <w:tblGrid>
        <w:gridCol w:w="2845"/>
        <w:gridCol w:w="2853"/>
        <w:gridCol w:w="2853"/>
      </w:tblGrid>
      <w:tr w:rsidR="000F7836" w14:paraId="7BC37634" w14:textId="77777777" w:rsidTr="002F505A">
        <w:tc>
          <w:tcPr>
            <w:tcW w:w="2845" w:type="dxa"/>
            <w:vAlign w:val="center"/>
          </w:tcPr>
          <w:p w14:paraId="0A7534FB" w14:textId="77777777" w:rsidR="000F7836" w:rsidRPr="00245BB0" w:rsidRDefault="000F7836" w:rsidP="00C96658">
            <w:pPr>
              <w:pStyle w:val="BodyText"/>
              <w:rPr>
                <w:b/>
              </w:rPr>
            </w:pPr>
            <w:r w:rsidRPr="00245BB0">
              <w:rPr>
                <w:b/>
              </w:rPr>
              <w:t>Parameter</w:t>
            </w:r>
          </w:p>
        </w:tc>
        <w:tc>
          <w:tcPr>
            <w:tcW w:w="2853" w:type="dxa"/>
            <w:vAlign w:val="center"/>
          </w:tcPr>
          <w:p w14:paraId="4D7E3389" w14:textId="77777777" w:rsidR="000F7836" w:rsidRPr="00245BB0" w:rsidRDefault="000F7836" w:rsidP="00C96658">
            <w:pPr>
              <w:pStyle w:val="BodyText"/>
              <w:rPr>
                <w:b/>
              </w:rPr>
            </w:pPr>
            <w:r w:rsidRPr="00245BB0">
              <w:rPr>
                <w:b/>
              </w:rPr>
              <w:t>Numerology 1</w:t>
            </w:r>
          </w:p>
        </w:tc>
        <w:tc>
          <w:tcPr>
            <w:tcW w:w="2853" w:type="dxa"/>
            <w:vAlign w:val="center"/>
          </w:tcPr>
          <w:p w14:paraId="7D8BEB01" w14:textId="77777777" w:rsidR="000F7836" w:rsidRPr="00245BB0" w:rsidRDefault="000F7836" w:rsidP="00C96658">
            <w:pPr>
              <w:pStyle w:val="BodyText"/>
              <w:rPr>
                <w:b/>
              </w:rPr>
            </w:pPr>
            <w:r w:rsidRPr="00245BB0">
              <w:rPr>
                <w:b/>
              </w:rPr>
              <w:t>Numerology 2</w:t>
            </w:r>
          </w:p>
        </w:tc>
      </w:tr>
      <w:tr w:rsidR="000F7836" w:rsidRPr="00B538DB" w14:paraId="07CBA454" w14:textId="77777777" w:rsidTr="002F505A">
        <w:tc>
          <w:tcPr>
            <w:tcW w:w="2845" w:type="dxa"/>
            <w:vAlign w:val="center"/>
          </w:tcPr>
          <w:p w14:paraId="149A97DD" w14:textId="77777777" w:rsidR="000F7836" w:rsidRDefault="000F7836" w:rsidP="00C96658">
            <w:pPr>
              <w:pStyle w:val="BodyText"/>
            </w:pPr>
            <w:r>
              <w:t>Numerology</w:t>
            </w:r>
          </w:p>
        </w:tc>
        <w:tc>
          <w:tcPr>
            <w:tcW w:w="2853" w:type="dxa"/>
            <w:vAlign w:val="center"/>
          </w:tcPr>
          <w:p w14:paraId="09C0AD37" w14:textId="7F1A7F42" w:rsidR="000F7836" w:rsidRPr="00B24BAE" w:rsidRDefault="002F505A" w:rsidP="002F505A">
            <w:pPr>
              <w:pStyle w:val="BodyText"/>
              <w:rPr>
                <w:lang w:val="de-DE"/>
              </w:rPr>
            </w:pPr>
            <m:oMathPara>
              <m:oMath>
                <m:r>
                  <m:rPr>
                    <m:sty m:val="p"/>
                  </m:rPr>
                  <w:rPr>
                    <w:rFonts w:ascii="Cambria Math" w:hAnsi="Cambria Math"/>
                  </w:rPr>
                  <m:t>Δ</m:t>
                </m:r>
                <m:r>
                  <w:rPr>
                    <w:rFonts w:ascii="Cambria Math" w:hAnsi="Cambria Math"/>
                  </w:rPr>
                  <m:t>f</m:t>
                </m:r>
                <m:r>
                  <w:rPr>
                    <w:rFonts w:ascii="Cambria Math" w:hAnsi="Cambria Math"/>
                    <w:lang w:val="de-DE"/>
                  </w:rPr>
                  <m:t xml:space="preserve">=15 </m:t>
                </m:r>
                <m:r>
                  <m:rPr>
                    <m:nor/>
                  </m:rPr>
                  <w:rPr>
                    <w:rFonts w:ascii="Cambria Math" w:hAnsi="Cambria Math"/>
                    <w:lang w:val="de-DE"/>
                  </w:rPr>
                  <m:t>kHz</m:t>
                </m:r>
                <m:r>
                  <w:rPr>
                    <w:rFonts w:ascii="Cambria Math" w:hAnsi="Cambria Math"/>
                    <w:lang w:val="de-DE"/>
                  </w:rPr>
                  <m:t xml:space="preserve">, </m:t>
                </m:r>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lang w:val="de-DE"/>
                  </w:rPr>
                  <m:t xml:space="preserve">=4.7 </m:t>
                </m:r>
                <m:r>
                  <w:rPr>
                    <w:rFonts w:ascii="Cambria Math" w:hAnsi="Cambria Math"/>
                  </w:rPr>
                  <m:t>μs</m:t>
                </m:r>
              </m:oMath>
            </m:oMathPara>
          </w:p>
        </w:tc>
        <w:tc>
          <w:tcPr>
            <w:tcW w:w="2853" w:type="dxa"/>
            <w:vAlign w:val="center"/>
          </w:tcPr>
          <w:p w14:paraId="3FC1C5BC" w14:textId="24EB32C3" w:rsidR="000F7836" w:rsidRPr="002F505A" w:rsidRDefault="002F505A" w:rsidP="002F505A">
            <w:pPr>
              <w:pStyle w:val="BodyText"/>
              <w:rPr>
                <w:lang w:val="de-DE"/>
              </w:rPr>
            </w:pPr>
            <m:oMathPara>
              <m:oMath>
                <m:r>
                  <m:rPr>
                    <m:sty m:val="p"/>
                  </m:rPr>
                  <w:rPr>
                    <w:rFonts w:ascii="Cambria Math" w:hAnsi="Cambria Math"/>
                  </w:rPr>
                  <m:t>Δ</m:t>
                </m:r>
                <m:r>
                  <w:rPr>
                    <w:rFonts w:ascii="Cambria Math" w:hAnsi="Cambria Math"/>
                  </w:rPr>
                  <m:t>f</m:t>
                </m:r>
                <m:r>
                  <w:rPr>
                    <w:rFonts w:ascii="Cambria Math" w:hAnsi="Cambria Math"/>
                    <w:lang w:val="de-DE"/>
                  </w:rPr>
                  <m:t xml:space="preserve">=30 </m:t>
                </m:r>
                <m:r>
                  <m:rPr>
                    <m:nor/>
                  </m:rPr>
                  <w:rPr>
                    <w:rFonts w:ascii="Cambria Math" w:hAnsi="Cambria Math"/>
                    <w:lang w:val="de-DE"/>
                  </w:rPr>
                  <m:t>kHz</m:t>
                </m:r>
                <m:r>
                  <w:rPr>
                    <w:rFonts w:ascii="Cambria Math" w:hAnsi="Cambria Math"/>
                    <w:lang w:val="de-DE"/>
                  </w:rPr>
                  <m:t xml:space="preserve">, </m:t>
                </m:r>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lang w:val="de-DE"/>
                  </w:rPr>
                  <m:t xml:space="preserve">=2.4 </m:t>
                </m:r>
                <m:r>
                  <w:rPr>
                    <w:rFonts w:ascii="Cambria Math" w:hAnsi="Cambria Math"/>
                  </w:rPr>
                  <m:t>μs</m:t>
                </m:r>
              </m:oMath>
            </m:oMathPara>
          </w:p>
        </w:tc>
      </w:tr>
      <w:tr w:rsidR="000F7836" w14:paraId="33CDD837" w14:textId="77777777" w:rsidTr="002F505A">
        <w:tc>
          <w:tcPr>
            <w:tcW w:w="2845" w:type="dxa"/>
            <w:vAlign w:val="center"/>
          </w:tcPr>
          <w:p w14:paraId="2A6BD4A1" w14:textId="77777777" w:rsidR="000F7836" w:rsidRDefault="000F7836" w:rsidP="00C96658">
            <w:pPr>
              <w:pStyle w:val="BodyText"/>
            </w:pPr>
            <w:r>
              <w:t>FFT size</w:t>
            </w:r>
          </w:p>
        </w:tc>
        <w:tc>
          <w:tcPr>
            <w:tcW w:w="2853" w:type="dxa"/>
            <w:vAlign w:val="center"/>
          </w:tcPr>
          <w:p w14:paraId="05C8DB1D" w14:textId="77777777" w:rsidR="000F7836" w:rsidRDefault="000F7836" w:rsidP="00C96658">
            <w:pPr>
              <w:pStyle w:val="BodyText"/>
            </w:pPr>
            <w:r>
              <w:t>2048</w:t>
            </w:r>
          </w:p>
        </w:tc>
        <w:tc>
          <w:tcPr>
            <w:tcW w:w="2853" w:type="dxa"/>
            <w:vAlign w:val="center"/>
          </w:tcPr>
          <w:p w14:paraId="058AAAF9" w14:textId="5D0545CB" w:rsidR="000F7836" w:rsidRDefault="002F505A" w:rsidP="00C96658">
            <w:pPr>
              <w:pStyle w:val="BodyText"/>
            </w:pPr>
            <w:r>
              <w:t>1024</w:t>
            </w:r>
          </w:p>
        </w:tc>
      </w:tr>
      <w:tr w:rsidR="000F7836" w14:paraId="24A635BA" w14:textId="77777777" w:rsidTr="002F505A">
        <w:tc>
          <w:tcPr>
            <w:tcW w:w="2845" w:type="dxa"/>
            <w:vAlign w:val="center"/>
          </w:tcPr>
          <w:p w14:paraId="7AEC93F0" w14:textId="77777777" w:rsidR="000F7836" w:rsidRDefault="000F7836" w:rsidP="00C96658">
            <w:pPr>
              <w:pStyle w:val="BodyText"/>
            </w:pPr>
            <w:r>
              <w:t>Sum of all cyclic extensions</w:t>
            </w:r>
          </w:p>
        </w:tc>
        <w:tc>
          <w:tcPr>
            <w:tcW w:w="2853" w:type="dxa"/>
            <w:vAlign w:val="center"/>
          </w:tcPr>
          <w:p w14:paraId="60F455D9" w14:textId="4565992D" w:rsidR="000F7836" w:rsidRDefault="002F505A" w:rsidP="00C96658">
            <w:pPr>
              <w:pStyle w:val="BodyText"/>
            </w:pPr>
            <w:r>
              <w:t>144</w:t>
            </w:r>
            <w:r w:rsidR="000F7836">
              <w:t xml:space="preserve"> samples</w:t>
            </w:r>
          </w:p>
        </w:tc>
        <w:tc>
          <w:tcPr>
            <w:tcW w:w="2853" w:type="dxa"/>
            <w:vAlign w:val="center"/>
          </w:tcPr>
          <w:p w14:paraId="188E42D2" w14:textId="4C26F04F" w:rsidR="000F7836" w:rsidRDefault="00426E7B" w:rsidP="00C96658">
            <w:pPr>
              <w:pStyle w:val="BodyText"/>
            </w:pPr>
            <w:r>
              <w:t>72</w:t>
            </w:r>
            <w:r w:rsidR="00B8383E">
              <w:t xml:space="preserve"> samples</w:t>
            </w:r>
          </w:p>
        </w:tc>
      </w:tr>
      <w:tr w:rsidR="000F7836" w14:paraId="69F7D39E" w14:textId="77777777" w:rsidTr="002F505A">
        <w:tc>
          <w:tcPr>
            <w:tcW w:w="2845" w:type="dxa"/>
            <w:vAlign w:val="center"/>
          </w:tcPr>
          <w:p w14:paraId="1767E655" w14:textId="77777777" w:rsidR="000F7836" w:rsidRDefault="000F7836" w:rsidP="00C96658">
            <w:pPr>
              <w:pStyle w:val="BodyText"/>
            </w:pPr>
            <w:r>
              <w:t>Length of cyclic suffix</w:t>
            </w:r>
          </w:p>
        </w:tc>
        <w:tc>
          <w:tcPr>
            <w:tcW w:w="5706" w:type="dxa"/>
            <w:gridSpan w:val="2"/>
            <w:vAlign w:val="center"/>
          </w:tcPr>
          <w:p w14:paraId="07FC027B" w14:textId="77777777" w:rsidR="000F7836" w:rsidRDefault="000F7836" w:rsidP="00C96658">
            <w:pPr>
              <w:pStyle w:val="BodyText"/>
            </w:pPr>
            <w:r>
              <w:t>Number of samples of TX window slope plus half the samples of RX window slope</w:t>
            </w:r>
          </w:p>
        </w:tc>
      </w:tr>
      <w:tr w:rsidR="000F7836" w14:paraId="75D3D948" w14:textId="77777777" w:rsidTr="002F505A">
        <w:tc>
          <w:tcPr>
            <w:tcW w:w="2845" w:type="dxa"/>
            <w:vAlign w:val="center"/>
          </w:tcPr>
          <w:p w14:paraId="637E314F" w14:textId="77777777" w:rsidR="000F7836" w:rsidRDefault="000F7836" w:rsidP="00C96658">
            <w:pPr>
              <w:pStyle w:val="BodyText"/>
            </w:pPr>
            <w:r>
              <w:t>Length of overlap between symbols</w:t>
            </w:r>
          </w:p>
        </w:tc>
        <w:tc>
          <w:tcPr>
            <w:tcW w:w="5706" w:type="dxa"/>
            <w:gridSpan w:val="2"/>
            <w:vAlign w:val="center"/>
          </w:tcPr>
          <w:p w14:paraId="7B368687" w14:textId="77777777" w:rsidR="000F7836" w:rsidRDefault="000F7836" w:rsidP="00C96658">
            <w:pPr>
              <w:pStyle w:val="BodyText"/>
            </w:pPr>
            <w:r>
              <w:t>Number of samples of TX window slope</w:t>
            </w:r>
          </w:p>
        </w:tc>
      </w:tr>
      <w:tr w:rsidR="000F7836" w14:paraId="2F014C6D" w14:textId="77777777" w:rsidTr="002F505A">
        <w:tc>
          <w:tcPr>
            <w:tcW w:w="2845" w:type="dxa"/>
            <w:vAlign w:val="center"/>
          </w:tcPr>
          <w:p w14:paraId="5B43A31B" w14:textId="77777777" w:rsidR="000F7836" w:rsidRDefault="000F7836" w:rsidP="00C96658">
            <w:pPr>
              <w:pStyle w:val="BodyText"/>
            </w:pPr>
            <w:r>
              <w:t>TX and RX window slope length</w:t>
            </w:r>
          </w:p>
        </w:tc>
        <w:tc>
          <w:tcPr>
            <w:tcW w:w="2853" w:type="dxa"/>
            <w:vAlign w:val="center"/>
          </w:tcPr>
          <w:p w14:paraId="4CD517B4" w14:textId="77777777" w:rsidR="000F7836" w:rsidRDefault="000F7836" w:rsidP="00C96658">
            <w:pPr>
              <w:pStyle w:val="BodyText"/>
            </w:pPr>
            <w:r>
              <w:t>0 (no windowing), 12, 24</w:t>
            </w:r>
          </w:p>
        </w:tc>
        <w:tc>
          <w:tcPr>
            <w:tcW w:w="2853" w:type="dxa"/>
            <w:vAlign w:val="center"/>
          </w:tcPr>
          <w:p w14:paraId="25FB2684" w14:textId="0904AD53" w:rsidR="000F7836" w:rsidRDefault="001A2A82" w:rsidP="002F505A">
            <w:pPr>
              <w:pStyle w:val="BodyText"/>
            </w:pPr>
            <w:r>
              <w:t>0 (no windowing), 6, 12</w:t>
            </w:r>
            <w:r w:rsidR="000F7836">
              <w:t xml:space="preserve"> </w:t>
            </w:r>
          </w:p>
        </w:tc>
      </w:tr>
      <w:tr w:rsidR="000F7836" w14:paraId="742822DB" w14:textId="77777777" w:rsidTr="002F505A">
        <w:tc>
          <w:tcPr>
            <w:tcW w:w="2845" w:type="dxa"/>
            <w:vAlign w:val="center"/>
          </w:tcPr>
          <w:p w14:paraId="5FDDCD75" w14:textId="77777777" w:rsidR="000F7836" w:rsidRDefault="000F7836" w:rsidP="00C96658">
            <w:pPr>
              <w:pStyle w:val="BodyText"/>
            </w:pPr>
            <w:r>
              <w:t>TX and RX window function</w:t>
            </w:r>
          </w:p>
        </w:tc>
        <w:tc>
          <w:tcPr>
            <w:tcW w:w="5706" w:type="dxa"/>
            <w:gridSpan w:val="2"/>
            <w:vAlign w:val="center"/>
          </w:tcPr>
          <w:p w14:paraId="5B1FF5DE" w14:textId="77777777" w:rsidR="000F7836" w:rsidRDefault="00A85B12" w:rsidP="00C96658">
            <m:oMath>
              <m:f>
                <m:fPr>
                  <m:type m:val="lin"/>
                  <m:ctrlPr>
                    <w:rPr>
                      <w:rFonts w:ascii="Cambria Math" w:hAnsi="Cambria Math"/>
                      <w:i/>
                    </w:rPr>
                  </m:ctrlPr>
                </m:fPr>
                <m:num>
                  <m:r>
                    <w:rPr>
                      <w:rFonts w:ascii="Cambria Math" w:hAnsi="Cambria Math"/>
                    </w:rPr>
                    <m:t>1</m:t>
                  </m:r>
                </m:num>
                <m:den>
                  <m:d>
                    <m:dPr>
                      <m:ctrlPr>
                        <w:rPr>
                          <w:rFonts w:ascii="Cambria Math" w:hAnsi="Cambria Math" w:cs="Courier New"/>
                          <w:color w:val="000000"/>
                          <w:lang w:val="en-US"/>
                        </w:rPr>
                      </m:ctrlPr>
                    </m:dPr>
                    <m:e>
                      <m:sSub>
                        <m:sSubPr>
                          <m:ctrlPr>
                            <w:rPr>
                              <w:rFonts w:ascii="Cambria Math" w:hAnsi="Cambria Math" w:cs="Courier New"/>
                              <w:i/>
                              <w:color w:val="000000"/>
                              <w:lang w:val="en-US"/>
                            </w:rPr>
                          </m:ctrlPr>
                        </m:sSubPr>
                        <m:e>
                          <m:r>
                            <w:rPr>
                              <w:rFonts w:ascii="Cambria Math" w:hAnsi="Cambria Math" w:cs="Courier New"/>
                              <w:color w:val="000000"/>
                              <w:lang w:val="en-US"/>
                            </w:rPr>
                            <m:t>N</m:t>
                          </m:r>
                        </m:e>
                        <m:sub>
                          <m:r>
                            <w:rPr>
                              <w:rFonts w:ascii="Cambria Math" w:hAnsi="Cambria Math" w:cs="Courier New"/>
                              <w:color w:val="000000"/>
                              <w:lang w:val="en-US"/>
                            </w:rPr>
                            <m:t>win</m:t>
                          </m:r>
                        </m:sub>
                      </m:sSub>
                      <m:r>
                        <m:rPr>
                          <m:sty m:val="p"/>
                        </m:rPr>
                        <w:rPr>
                          <w:rFonts w:ascii="Cambria Math" w:hAnsi="Cambria Math" w:cs="Courier New"/>
                          <w:color w:val="000000"/>
                          <w:lang w:val="en-US"/>
                        </w:rPr>
                        <m:t>+1</m:t>
                      </m:r>
                    </m:e>
                  </m:d>
                  <m:r>
                    <w:rPr>
                      <w:rFonts w:ascii="Cambria Math" w:hAnsi="Cambria Math" w:cs="Courier New"/>
                      <w:color w:val="000000"/>
                      <w:lang w:val="en-US"/>
                    </w:rPr>
                    <m:t>∙</m:t>
                  </m:r>
                  <m:d>
                    <m:dPr>
                      <m:ctrlPr>
                        <w:rPr>
                          <w:rFonts w:ascii="Cambria Math" w:hAnsi="Cambria Math" w:cs="Courier New"/>
                          <w:color w:val="000000"/>
                          <w:lang w:val="en-US"/>
                        </w:rPr>
                      </m:ctrlPr>
                    </m:dPr>
                    <m:e>
                      <m:r>
                        <m:rPr>
                          <m:sty m:val="p"/>
                        </m:rPr>
                        <w:rPr>
                          <w:rFonts w:ascii="Cambria Math" w:hAnsi="Cambria Math" w:cs="Courier New"/>
                          <w:color w:val="000000"/>
                          <w:lang w:val="en-US"/>
                        </w:rPr>
                        <m:t>1:</m:t>
                      </m:r>
                      <m:sSub>
                        <m:sSubPr>
                          <m:ctrlPr>
                            <w:rPr>
                              <w:rFonts w:ascii="Cambria Math" w:hAnsi="Cambria Math" w:cs="Courier New"/>
                              <w:i/>
                              <w:color w:val="000000"/>
                              <w:lang w:val="en-US"/>
                            </w:rPr>
                          </m:ctrlPr>
                        </m:sSubPr>
                        <m:e>
                          <m:r>
                            <w:rPr>
                              <w:rFonts w:ascii="Cambria Math" w:hAnsi="Cambria Math" w:cs="Courier New"/>
                              <w:color w:val="000000"/>
                              <w:lang w:val="en-US"/>
                            </w:rPr>
                            <m:t>N</m:t>
                          </m:r>
                        </m:e>
                        <m:sub>
                          <m:r>
                            <w:rPr>
                              <w:rFonts w:ascii="Cambria Math" w:hAnsi="Cambria Math" w:cs="Courier New"/>
                              <w:color w:val="000000"/>
                              <w:lang w:val="en-US"/>
                            </w:rPr>
                            <m:t>win</m:t>
                          </m:r>
                        </m:sub>
                      </m:sSub>
                    </m:e>
                  </m:d>
                </m:den>
              </m:f>
              <m:r>
                <w:rPr>
                  <w:rFonts w:ascii="Cambria Math" w:hAnsi="Cambria Math"/>
                </w:rPr>
                <m:t xml:space="preserve"> </m:t>
              </m:r>
            </m:oMath>
            <w:proofErr w:type="gramStart"/>
            <w:r w:rsidR="000F7836">
              <w:t>and</w:t>
            </w:r>
            <w:proofErr w:type="gramEnd"/>
            <w:r w:rsidR="000F7836">
              <w:t xml:space="preserve"> </w:t>
            </w:r>
            <m:oMath>
              <m:f>
                <m:fPr>
                  <m:type m:val="lin"/>
                  <m:ctrlPr>
                    <w:rPr>
                      <w:rFonts w:ascii="Cambria Math" w:hAnsi="Cambria Math"/>
                      <w:i/>
                    </w:rPr>
                  </m:ctrlPr>
                </m:fPr>
                <m:num>
                  <m:r>
                    <w:rPr>
                      <w:rFonts w:ascii="Cambria Math" w:hAnsi="Cambria Math"/>
                    </w:rPr>
                    <m:t>1</m:t>
                  </m:r>
                </m:num>
                <m:den>
                  <m:d>
                    <m:dPr>
                      <m:ctrlPr>
                        <w:rPr>
                          <w:rFonts w:ascii="Cambria Math" w:hAnsi="Cambria Math" w:cs="Courier New"/>
                          <w:color w:val="000000"/>
                          <w:lang w:val="en-US"/>
                        </w:rPr>
                      </m:ctrlPr>
                    </m:dPr>
                    <m:e>
                      <m:sSub>
                        <m:sSubPr>
                          <m:ctrlPr>
                            <w:rPr>
                              <w:rFonts w:ascii="Cambria Math" w:hAnsi="Cambria Math" w:cs="Courier New"/>
                              <w:i/>
                              <w:color w:val="000000"/>
                              <w:lang w:val="en-US"/>
                            </w:rPr>
                          </m:ctrlPr>
                        </m:sSubPr>
                        <m:e>
                          <m:r>
                            <w:rPr>
                              <w:rFonts w:ascii="Cambria Math" w:hAnsi="Cambria Math" w:cs="Courier New"/>
                              <w:color w:val="000000"/>
                              <w:lang w:val="en-US"/>
                            </w:rPr>
                            <m:t>N</m:t>
                          </m:r>
                        </m:e>
                        <m:sub>
                          <m:r>
                            <w:rPr>
                              <w:rFonts w:ascii="Cambria Math" w:hAnsi="Cambria Math" w:cs="Courier New"/>
                              <w:color w:val="000000"/>
                              <w:lang w:val="en-US"/>
                            </w:rPr>
                            <m:t>win</m:t>
                          </m:r>
                        </m:sub>
                      </m:sSub>
                      <m:r>
                        <m:rPr>
                          <m:sty m:val="p"/>
                        </m:rPr>
                        <w:rPr>
                          <w:rFonts w:ascii="Cambria Math" w:hAnsi="Cambria Math" w:cs="Courier New"/>
                          <w:color w:val="000000"/>
                          <w:lang w:val="en-US"/>
                        </w:rPr>
                        <m:t>+1</m:t>
                      </m:r>
                    </m:e>
                  </m:d>
                  <m:r>
                    <m:rPr>
                      <m:sty m:val="p"/>
                    </m:rPr>
                    <w:rPr>
                      <w:rFonts w:ascii="Cambria Math" w:hAnsi="Cambria Math" w:cs="Courier New"/>
                      <w:color w:val="000000"/>
                      <w:lang w:val="en-US"/>
                    </w:rPr>
                    <m:t>∙</m:t>
                  </m:r>
                  <m:d>
                    <m:dPr>
                      <m:ctrlPr>
                        <w:rPr>
                          <w:rFonts w:ascii="Cambria Math" w:hAnsi="Cambria Math" w:cs="Courier New"/>
                          <w:color w:val="000000"/>
                          <w:lang w:val="en-US"/>
                        </w:rPr>
                      </m:ctrlPr>
                    </m:dPr>
                    <m:e>
                      <m:sSub>
                        <m:sSubPr>
                          <m:ctrlPr>
                            <w:rPr>
                              <w:rFonts w:ascii="Cambria Math" w:hAnsi="Cambria Math" w:cs="Courier New"/>
                              <w:i/>
                              <w:color w:val="000000"/>
                              <w:lang w:val="en-US"/>
                            </w:rPr>
                          </m:ctrlPr>
                        </m:sSubPr>
                        <m:e>
                          <m:r>
                            <w:rPr>
                              <w:rFonts w:ascii="Cambria Math" w:hAnsi="Cambria Math" w:cs="Courier New"/>
                              <w:color w:val="000000"/>
                              <w:lang w:val="en-US"/>
                            </w:rPr>
                            <m:t>N</m:t>
                          </m:r>
                        </m:e>
                        <m:sub>
                          <m:r>
                            <w:rPr>
                              <w:rFonts w:ascii="Cambria Math" w:hAnsi="Cambria Math" w:cs="Courier New"/>
                              <w:color w:val="000000"/>
                              <w:lang w:val="en-US"/>
                            </w:rPr>
                            <m:t>win</m:t>
                          </m:r>
                        </m:sub>
                      </m:sSub>
                      <m:r>
                        <w:rPr>
                          <w:rFonts w:ascii="Cambria Math" w:hAnsi="Cambria Math" w:cs="Courier New"/>
                          <w:color w:val="000000"/>
                          <w:lang w:val="en-US"/>
                        </w:rPr>
                        <m:t>:-1:1</m:t>
                      </m:r>
                    </m:e>
                  </m:d>
                </m:den>
              </m:f>
            </m:oMath>
            <w:r w:rsidR="000F7836">
              <w:t xml:space="preserve"> for increasing and decreasing window slope, respectively. </w:t>
            </w:r>
            <m:oMath>
              <m:sSub>
                <m:sSubPr>
                  <m:ctrlPr>
                    <w:rPr>
                      <w:rFonts w:ascii="Cambria Math" w:hAnsi="Cambria Math"/>
                      <w:i/>
                    </w:rPr>
                  </m:ctrlPr>
                </m:sSubPr>
                <m:e>
                  <m:r>
                    <w:rPr>
                      <w:rFonts w:ascii="Cambria Math" w:hAnsi="Cambria Math"/>
                    </w:rPr>
                    <m:t>N</m:t>
                  </m:r>
                </m:e>
                <m:sub>
                  <m:r>
                    <w:rPr>
                      <w:rFonts w:ascii="Cambria Math" w:hAnsi="Cambria Math"/>
                    </w:rPr>
                    <m:t>win</m:t>
                  </m:r>
                </m:sub>
              </m:sSub>
            </m:oMath>
            <w:r w:rsidR="000F7836">
              <w:t xml:space="preserve">  </w:t>
            </w:r>
            <w:proofErr w:type="gramStart"/>
            <w:r w:rsidR="000F7836">
              <w:t>is</w:t>
            </w:r>
            <w:proofErr w:type="gramEnd"/>
            <w:r w:rsidR="000F7836">
              <w:t xml:space="preserve"> the window slope length. </w:t>
            </w:r>
          </w:p>
        </w:tc>
      </w:tr>
      <w:tr w:rsidR="002F505A" w14:paraId="3EDCFAB8" w14:textId="77777777" w:rsidTr="00AA3B63">
        <w:trPr>
          <w:trHeight w:val="106"/>
        </w:trPr>
        <w:tc>
          <w:tcPr>
            <w:tcW w:w="2845" w:type="dxa"/>
            <w:vAlign w:val="center"/>
          </w:tcPr>
          <w:p w14:paraId="7A382C2B" w14:textId="0B8D9207" w:rsidR="002F505A" w:rsidRDefault="002F505A" w:rsidP="00C96658">
            <w:pPr>
              <w:pStyle w:val="BodyText"/>
            </w:pPr>
            <w:r>
              <w:t>Resource allocation</w:t>
            </w:r>
          </w:p>
        </w:tc>
        <w:tc>
          <w:tcPr>
            <w:tcW w:w="2853" w:type="dxa"/>
            <w:vAlign w:val="center"/>
          </w:tcPr>
          <w:p w14:paraId="58037A09" w14:textId="77777777" w:rsidR="002F505A" w:rsidRPr="00451CF4" w:rsidRDefault="00A85B12" w:rsidP="00C96658">
            <w:pPr>
              <w:pStyle w:val="BodyText"/>
            </w:pPr>
            <m:oMathPara>
              <m:oMathParaPr>
                <m:jc m:val="left"/>
              </m:oMathParaPr>
              <m:oMath>
                <m:d>
                  <m:dPr>
                    <m:begChr m:val="{"/>
                    <m:endChr m:val="}"/>
                    <m:ctrlPr>
                      <w:rPr>
                        <w:rFonts w:ascii="Cambria Math" w:hAnsi="Cambria Math"/>
                        <w:i/>
                      </w:rPr>
                    </m:ctrlPr>
                  </m:dPr>
                  <m:e>
                    <m:r>
                      <w:rPr>
                        <w:rFonts w:ascii="Cambria Math" w:hAnsi="Cambria Math"/>
                      </w:rPr>
                      <m:t>600…1199</m:t>
                    </m:r>
                  </m:e>
                </m:d>
              </m:oMath>
            </m:oMathPara>
          </w:p>
        </w:tc>
        <w:tc>
          <w:tcPr>
            <w:tcW w:w="2853" w:type="dxa"/>
            <w:vAlign w:val="center"/>
          </w:tcPr>
          <w:p w14:paraId="186D943F" w14:textId="63748FD1" w:rsidR="002F505A" w:rsidRPr="00CA25B1" w:rsidRDefault="00A85B12" w:rsidP="00B24BAE">
            <w:pPr>
              <w:pStyle w:val="BodyText"/>
              <w:rPr>
                <w:highlight w:val="yellow"/>
              </w:rPr>
            </w:pPr>
            <m:oMath>
              <m:d>
                <m:dPr>
                  <m:begChr m:val="{"/>
                  <m:endChr m:val="}"/>
                  <m:ctrlPr>
                    <w:rPr>
                      <w:rFonts w:ascii="Cambria Math" w:hAnsi="Cambria Math"/>
                      <w:i/>
                    </w:rPr>
                  </m:ctrlPr>
                </m:dPr>
                <m:e>
                  <m:r>
                    <w:rPr>
                      <w:rFonts w:ascii="Cambria Math" w:hAnsi="Cambria Math"/>
                    </w:rPr>
                    <m:t>0…299</m:t>
                  </m:r>
                </m:e>
              </m:d>
            </m:oMath>
            <w:r w:rsidR="002F505A" w:rsidRPr="00AD692B">
              <w:t xml:space="preserve"> (</w:t>
            </w:r>
            <m:oMath>
              <m:d>
                <m:dPr>
                  <m:begChr m:val="{"/>
                  <m:endChr m:val="}"/>
                  <m:ctrlPr>
                    <w:rPr>
                      <w:rFonts w:ascii="Cambria Math" w:hAnsi="Cambria Math"/>
                      <w:i/>
                    </w:rPr>
                  </m:ctrlPr>
                </m:dPr>
                <m:e>
                  <m:r>
                    <w:rPr>
                      <w:rFonts w:ascii="Cambria Math" w:hAnsi="Cambria Math"/>
                    </w:rPr>
                    <m:t>0:2:598</m:t>
                  </m:r>
                </m:e>
              </m:d>
            </m:oMath>
            <w:r w:rsidR="002F505A" w:rsidRPr="00AD692B">
              <w:t xml:space="preserve"> narrowband subcarrier)</w:t>
            </w:r>
          </w:p>
        </w:tc>
      </w:tr>
    </w:tbl>
    <w:p w14:paraId="3EDCB95F" w14:textId="77777777" w:rsidR="000F7836" w:rsidRPr="000F7836" w:rsidRDefault="000F7836" w:rsidP="000F7836"/>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5"/>
      </w:tblGrid>
      <w:tr w:rsidR="00793DF1" w14:paraId="1B92C885" w14:textId="77777777" w:rsidTr="00793DF1">
        <w:tc>
          <w:tcPr>
            <w:tcW w:w="9855" w:type="dxa"/>
          </w:tcPr>
          <w:p w14:paraId="71100298" w14:textId="19A01C95" w:rsidR="00793DF1" w:rsidRDefault="00683DE7" w:rsidP="00793DF1">
            <w:pPr>
              <w:pStyle w:val="Caption"/>
            </w:pPr>
            <w:r w:rsidRPr="00683DE7">
              <w:rPr>
                <w:noProof/>
                <w:lang w:val="en-US" w:eastAsia="en-US"/>
              </w:rPr>
              <w:drawing>
                <wp:inline distT="0" distB="0" distL="0" distR="0" wp14:anchorId="2E753B40" wp14:editId="626EC5CA">
                  <wp:extent cx="5972810" cy="3199765"/>
                  <wp:effectExtent l="0" t="0" r="889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972810" cy="3199765"/>
                          </a:xfrm>
                          <a:prstGeom prst="rect">
                            <a:avLst/>
                          </a:prstGeom>
                        </pic:spPr>
                      </pic:pic>
                    </a:graphicData>
                  </a:graphic>
                </wp:inline>
              </w:drawing>
            </w:r>
          </w:p>
          <w:p w14:paraId="3594767F" w14:textId="7284817A" w:rsidR="00793DF1" w:rsidRPr="00793DF1" w:rsidRDefault="00793DF1" w:rsidP="00793DF1">
            <w:pPr>
              <w:jc w:val="center"/>
            </w:pPr>
            <w:r>
              <w:t>a)</w:t>
            </w:r>
          </w:p>
        </w:tc>
      </w:tr>
      <w:tr w:rsidR="00793DF1" w14:paraId="0CAA01B4" w14:textId="77777777" w:rsidTr="00793DF1">
        <w:tc>
          <w:tcPr>
            <w:tcW w:w="9855" w:type="dxa"/>
            <w:vAlign w:val="center"/>
          </w:tcPr>
          <w:p w14:paraId="5CA912DC" w14:textId="65AB5421" w:rsidR="00793DF1" w:rsidRDefault="00683DE7" w:rsidP="00793DF1">
            <w:pPr>
              <w:pStyle w:val="Caption"/>
            </w:pPr>
            <w:r w:rsidRPr="00683DE7">
              <w:rPr>
                <w:noProof/>
                <w:lang w:val="en-US" w:eastAsia="en-US"/>
              </w:rPr>
              <w:lastRenderedPageBreak/>
              <w:drawing>
                <wp:inline distT="0" distB="0" distL="0" distR="0" wp14:anchorId="78C758AA" wp14:editId="12A17A6E">
                  <wp:extent cx="5972810" cy="3199765"/>
                  <wp:effectExtent l="0" t="0" r="889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972810" cy="3199765"/>
                          </a:xfrm>
                          <a:prstGeom prst="rect">
                            <a:avLst/>
                          </a:prstGeom>
                        </pic:spPr>
                      </pic:pic>
                    </a:graphicData>
                  </a:graphic>
                </wp:inline>
              </w:drawing>
            </w:r>
          </w:p>
          <w:p w14:paraId="69235CBF" w14:textId="60680F7E" w:rsidR="00793DF1" w:rsidRPr="00793DF1" w:rsidRDefault="00793DF1" w:rsidP="00793DF1">
            <w:pPr>
              <w:jc w:val="center"/>
            </w:pPr>
            <w:r>
              <w:t>b)</w:t>
            </w:r>
          </w:p>
        </w:tc>
      </w:tr>
    </w:tbl>
    <w:p w14:paraId="2D3C2937" w14:textId="0B5F8F8D" w:rsidR="00F56C6D" w:rsidRDefault="002F505A" w:rsidP="002F505A">
      <w:pPr>
        <w:pStyle w:val="Caption"/>
      </w:pPr>
      <w:bookmarkStart w:id="11" w:name="_Ref444256878"/>
      <w:r>
        <w:t xml:space="preserve">Figure </w:t>
      </w:r>
      <w:r>
        <w:fldChar w:fldCharType="begin"/>
      </w:r>
      <w:r>
        <w:instrText xml:space="preserve"> SEQ Figure \* ARABIC </w:instrText>
      </w:r>
      <w:r>
        <w:fldChar w:fldCharType="separate"/>
      </w:r>
      <w:r>
        <w:rPr>
          <w:noProof/>
        </w:rPr>
        <w:t>5</w:t>
      </w:r>
      <w:r>
        <w:fldChar w:fldCharType="end"/>
      </w:r>
      <w:bookmarkEnd w:id="11"/>
      <w:r>
        <w:tab/>
      </w:r>
      <w:r w:rsidR="00793DF1">
        <w:t xml:space="preserve">a) </w:t>
      </w:r>
      <w:r>
        <w:t>Comparison of SIR without windowing and with TX/RX windowing</w:t>
      </w:r>
      <w:r w:rsidR="00793DF1">
        <w:t>. b) Zoomed into the centre resource blocks.</w:t>
      </w:r>
    </w:p>
    <w:p w14:paraId="3E989818" w14:textId="26875D4F" w:rsidR="00A12509" w:rsidRPr="00CA25B1" w:rsidRDefault="002F505A" w:rsidP="005F599F">
      <w:pPr>
        <w:rPr>
          <w:b/>
        </w:rPr>
      </w:pPr>
      <w:r w:rsidRPr="00CA25B1">
        <w:rPr>
          <w:b/>
        </w:rPr>
        <w:t xml:space="preserve">Observation: Combined TX and RX windowing reduces inter-numerology interference </w:t>
      </w:r>
      <w:r w:rsidR="00B8383E">
        <w:rPr>
          <w:b/>
        </w:rPr>
        <w:t>and increases SIR.</w:t>
      </w:r>
    </w:p>
    <w:p w14:paraId="2D0538BE" w14:textId="77777777" w:rsidR="00D00AE7" w:rsidRDefault="00D00AE7" w:rsidP="00D00AE7">
      <w:pPr>
        <w:pStyle w:val="Heading1"/>
        <w:rPr>
          <w:lang w:val="en-US"/>
        </w:rPr>
      </w:pPr>
      <w:r>
        <w:rPr>
          <w:lang w:val="en-US"/>
        </w:rPr>
        <w:t>Conclusion</w:t>
      </w:r>
    </w:p>
    <w:p w14:paraId="4B1FB1B4" w14:textId="48705EBB" w:rsidR="00CA25B1" w:rsidRDefault="00CA25B1" w:rsidP="00CA25B1">
      <w:pPr>
        <w:rPr>
          <w:lang w:val="en-US"/>
        </w:rPr>
      </w:pPr>
      <w:r>
        <w:rPr>
          <w:lang w:val="en-US"/>
        </w:rPr>
        <w:t>In this contribution we show that windowing is an efficient and simple tool to control inter-numerology interference in a system where multiple OFDM numerologies are multiplex in frequency-domain.</w:t>
      </w:r>
    </w:p>
    <w:p w14:paraId="47A19541" w14:textId="77777777" w:rsidR="00CA25B1" w:rsidRPr="00CA25B1" w:rsidRDefault="00CA25B1" w:rsidP="00CA25B1">
      <w:pPr>
        <w:rPr>
          <w:b/>
        </w:rPr>
      </w:pPr>
      <w:r w:rsidRPr="00CA25B1">
        <w:rPr>
          <w:b/>
        </w:rPr>
        <w:t>Observation: Combined TX and RX windowing reduces inter-numerology interference and increases SIR.</w:t>
      </w:r>
    </w:p>
    <w:p w14:paraId="71324A1B" w14:textId="77777777" w:rsidR="00D00AE7" w:rsidRPr="00A742FA" w:rsidRDefault="00D00AE7" w:rsidP="00D00AE7">
      <w:pPr>
        <w:pStyle w:val="Heading1"/>
        <w:rPr>
          <w:lang w:val="en-US"/>
        </w:rPr>
      </w:pPr>
      <w:r w:rsidRPr="00A742FA">
        <w:rPr>
          <w:lang w:val="en-US"/>
        </w:rPr>
        <w:t>Reference</w:t>
      </w:r>
      <w:r>
        <w:rPr>
          <w:lang w:val="en-US"/>
        </w:rPr>
        <w:t>s</w:t>
      </w:r>
    </w:p>
    <w:p w14:paraId="3CDC1234" w14:textId="5F70CA23" w:rsidR="00CA25B1" w:rsidRDefault="00CA25B1" w:rsidP="00CA25B1">
      <w:pPr>
        <w:pStyle w:val="Reference"/>
        <w:rPr>
          <w:lang w:val="en-US"/>
        </w:rPr>
      </w:pPr>
      <w:bookmarkStart w:id="12" w:name="_Ref444257346"/>
      <w:bookmarkStart w:id="13" w:name="_Ref444097166"/>
      <w:bookmarkStart w:id="14" w:name="_Ref442441852"/>
      <w:bookmarkStart w:id="15" w:name="_Ref441562466"/>
      <w:r w:rsidRPr="00CA25B1">
        <w:rPr>
          <w:lang w:val="en-US"/>
        </w:rPr>
        <w:t xml:space="preserve">F. </w:t>
      </w:r>
      <w:proofErr w:type="spellStart"/>
      <w:r w:rsidRPr="00CA25B1">
        <w:rPr>
          <w:lang w:val="en-US"/>
        </w:rPr>
        <w:t>Sjoberg</w:t>
      </w:r>
      <w:proofErr w:type="spellEnd"/>
      <w:r w:rsidRPr="00CA25B1">
        <w:rPr>
          <w:lang w:val="en-US"/>
        </w:rPr>
        <w:t xml:space="preserve">, R. Nilsson, M. Isaksson, and P. </w:t>
      </w:r>
      <w:proofErr w:type="spellStart"/>
      <w:r w:rsidRPr="00CA25B1">
        <w:rPr>
          <w:lang w:val="en-US"/>
        </w:rPr>
        <w:t>Odling</w:t>
      </w:r>
      <w:proofErr w:type="spellEnd"/>
      <w:r w:rsidRPr="00CA25B1">
        <w:rPr>
          <w:lang w:val="en-US"/>
        </w:rPr>
        <w:t xml:space="preserve">, and P. O. </w:t>
      </w:r>
      <w:proofErr w:type="spellStart"/>
      <w:r w:rsidRPr="00CA25B1">
        <w:rPr>
          <w:lang w:val="en-US"/>
        </w:rPr>
        <w:t>Borjesson</w:t>
      </w:r>
      <w:proofErr w:type="spellEnd"/>
      <w:r w:rsidRPr="00CA25B1">
        <w:rPr>
          <w:lang w:val="en-US"/>
        </w:rPr>
        <w:t>, “Asynchronous Zipper,” IEEE International Conference on Communications (ICC), 1999.</w:t>
      </w:r>
      <w:bookmarkEnd w:id="12"/>
      <w:bookmarkEnd w:id="13"/>
      <w:bookmarkEnd w:id="14"/>
      <w:bookmarkEnd w:id="15"/>
    </w:p>
    <w:sectPr w:rsidR="00CA25B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E04EE8" w14:textId="77777777" w:rsidR="00A85B12" w:rsidRDefault="00A85B12">
      <w:r>
        <w:separator/>
      </w:r>
    </w:p>
  </w:endnote>
  <w:endnote w:type="continuationSeparator" w:id="0">
    <w:p w14:paraId="6C074EA9" w14:textId="77777777" w:rsidR="00A85B12" w:rsidRDefault="00A85B12">
      <w:r>
        <w:continuationSeparator/>
      </w:r>
    </w:p>
  </w:endnote>
  <w:endnote w:type="continuationNotice" w:id="1">
    <w:p w14:paraId="1074E72D" w14:textId="77777777" w:rsidR="00A85B12" w:rsidRDefault="00A85B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4B382" w14:textId="77777777" w:rsidR="009A7664" w:rsidRDefault="009A766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63BC21C6" w:rsidR="00AC263C" w:rsidRPr="009A7664" w:rsidRDefault="00AC263C" w:rsidP="009A766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5C2282" w14:textId="77777777" w:rsidR="009A7664" w:rsidRDefault="009A76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BCA101" w14:textId="77777777" w:rsidR="00A85B12" w:rsidRDefault="00A85B12">
      <w:r>
        <w:separator/>
      </w:r>
    </w:p>
  </w:footnote>
  <w:footnote w:type="continuationSeparator" w:id="0">
    <w:p w14:paraId="048EEA8E" w14:textId="77777777" w:rsidR="00A85B12" w:rsidRDefault="00A85B12">
      <w:r>
        <w:continuationSeparator/>
      </w:r>
    </w:p>
  </w:footnote>
  <w:footnote w:type="continuationNotice" w:id="1">
    <w:p w14:paraId="2CF7B3A0" w14:textId="77777777" w:rsidR="00A85B12" w:rsidRDefault="00A85B1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4368932E" w:rsidR="00AC263C" w:rsidRPr="009A7664" w:rsidRDefault="00AC263C" w:rsidP="009A766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AC263C" w:rsidRDefault="00AC263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FE6D2" w14:textId="77777777" w:rsidR="009A7664" w:rsidRDefault="009A76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9">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17">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29">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2">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8"/>
  </w:num>
  <w:num w:numId="3">
    <w:abstractNumId w:val="12"/>
  </w:num>
  <w:num w:numId="4">
    <w:abstractNumId w:val="13"/>
  </w:num>
  <w:num w:numId="5">
    <w:abstractNumId w:val="10"/>
  </w:num>
  <w:num w:numId="6">
    <w:abstractNumId w:val="15"/>
  </w:num>
  <w:num w:numId="7">
    <w:abstractNumId w:val="24"/>
  </w:num>
  <w:num w:numId="8">
    <w:abstractNumId w:val="11"/>
  </w:num>
  <w:num w:numId="9">
    <w:abstractNumId w:val="9"/>
  </w:num>
  <w:num w:numId="10">
    <w:abstractNumId w:val="2"/>
  </w:num>
  <w:num w:numId="11">
    <w:abstractNumId w:val="1"/>
  </w:num>
  <w:num w:numId="12">
    <w:abstractNumId w:val="0"/>
  </w:num>
  <w:num w:numId="13">
    <w:abstractNumId w:val="20"/>
  </w:num>
  <w:num w:numId="14">
    <w:abstractNumId w:val="17"/>
  </w:num>
  <w:num w:numId="15">
    <w:abstractNumId w:val="5"/>
  </w:num>
  <w:num w:numId="16">
    <w:abstractNumId w:val="19"/>
  </w:num>
  <w:num w:numId="17">
    <w:abstractNumId w:val="14"/>
  </w:num>
  <w:num w:numId="18">
    <w:abstractNumId w:val="21"/>
  </w:num>
  <w:num w:numId="19">
    <w:abstractNumId w:val="22"/>
  </w:num>
  <w:num w:numId="20">
    <w:abstractNumId w:val="6"/>
  </w:num>
  <w:num w:numId="21">
    <w:abstractNumId w:val="28"/>
  </w:num>
  <w:num w:numId="22">
    <w:abstractNumId w:val="26"/>
  </w:num>
  <w:num w:numId="23">
    <w:abstractNumId w:val="7"/>
  </w:num>
  <w:num w:numId="24">
    <w:abstractNumId w:val="12"/>
  </w:num>
  <w:num w:numId="25">
    <w:abstractNumId w:val="12"/>
    <w:lvlOverride w:ilvl="0">
      <w:startOverride w:val="1"/>
    </w:lvlOverride>
  </w:num>
  <w:num w:numId="26">
    <w:abstractNumId w:val="12"/>
    <w:lvlOverride w:ilvl="0">
      <w:startOverride w:val="1"/>
    </w:lvlOverride>
  </w:num>
  <w:num w:numId="27">
    <w:abstractNumId w:val="12"/>
    <w:lvlOverride w:ilvl="0">
      <w:startOverride w:val="1"/>
    </w:lvlOverride>
  </w:num>
  <w:num w:numId="28">
    <w:abstractNumId w:val="27"/>
  </w:num>
  <w:num w:numId="29">
    <w:abstractNumId w:val="30"/>
  </w:num>
  <w:num w:numId="30">
    <w:abstractNumId w:val="29"/>
  </w:num>
  <w:num w:numId="31">
    <w:abstractNumId w:val="25"/>
  </w:num>
  <w:num w:numId="32">
    <w:abstractNumId w:val="23"/>
  </w:num>
  <w:num w:numId="33">
    <w:abstractNumId w:val="8"/>
  </w:num>
  <w:num w:numId="34">
    <w:abstractNumId w:val="16"/>
  </w:num>
  <w:num w:numId="35">
    <w:abstractNumId w:val="31"/>
  </w:num>
  <w:num w:numId="36">
    <w:abstractNumId w:val="34"/>
  </w:num>
  <w:num w:numId="37">
    <w:abstractNumId w:val="33"/>
  </w:num>
  <w:num w:numId="38">
    <w:abstractNumId w:val="32"/>
  </w:num>
  <w:num w:numId="39">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51F40"/>
    <w:rsid w:val="00052A07"/>
    <w:rsid w:val="000534E3"/>
    <w:rsid w:val="00055BC1"/>
    <w:rsid w:val="0005606A"/>
    <w:rsid w:val="00057117"/>
    <w:rsid w:val="000609B7"/>
    <w:rsid w:val="000616E7"/>
    <w:rsid w:val="0006487E"/>
    <w:rsid w:val="00065E1A"/>
    <w:rsid w:val="000668D7"/>
    <w:rsid w:val="00070FBD"/>
    <w:rsid w:val="00077E5F"/>
    <w:rsid w:val="0008036A"/>
    <w:rsid w:val="00081AE6"/>
    <w:rsid w:val="000855EB"/>
    <w:rsid w:val="00085B52"/>
    <w:rsid w:val="000866F2"/>
    <w:rsid w:val="0009009F"/>
    <w:rsid w:val="00090145"/>
    <w:rsid w:val="00090CCA"/>
    <w:rsid w:val="00091557"/>
    <w:rsid w:val="000924C1"/>
    <w:rsid w:val="000924F0"/>
    <w:rsid w:val="00093474"/>
    <w:rsid w:val="0009510F"/>
    <w:rsid w:val="000A0AFD"/>
    <w:rsid w:val="000A1B7B"/>
    <w:rsid w:val="000A36C3"/>
    <w:rsid w:val="000A56F2"/>
    <w:rsid w:val="000B2719"/>
    <w:rsid w:val="000B3A8F"/>
    <w:rsid w:val="000B4AB9"/>
    <w:rsid w:val="000B58C3"/>
    <w:rsid w:val="000B61E9"/>
    <w:rsid w:val="000C038F"/>
    <w:rsid w:val="000C165A"/>
    <w:rsid w:val="000C27C5"/>
    <w:rsid w:val="000C2E19"/>
    <w:rsid w:val="000C7397"/>
    <w:rsid w:val="000D0D07"/>
    <w:rsid w:val="000D2D69"/>
    <w:rsid w:val="000D4797"/>
    <w:rsid w:val="000D6017"/>
    <w:rsid w:val="000D6C88"/>
    <w:rsid w:val="000E0527"/>
    <w:rsid w:val="000E1E92"/>
    <w:rsid w:val="000E527D"/>
    <w:rsid w:val="000F06D6"/>
    <w:rsid w:val="000F0EB1"/>
    <w:rsid w:val="000F1106"/>
    <w:rsid w:val="000F3BE9"/>
    <w:rsid w:val="000F3F6C"/>
    <w:rsid w:val="000F6DF3"/>
    <w:rsid w:val="000F7836"/>
    <w:rsid w:val="001005FF"/>
    <w:rsid w:val="00100F45"/>
    <w:rsid w:val="001062FB"/>
    <w:rsid w:val="001063E6"/>
    <w:rsid w:val="00110233"/>
    <w:rsid w:val="001112D9"/>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3008"/>
    <w:rsid w:val="00143981"/>
    <w:rsid w:val="0014787F"/>
    <w:rsid w:val="001501DF"/>
    <w:rsid w:val="00151E23"/>
    <w:rsid w:val="001526E0"/>
    <w:rsid w:val="001551B5"/>
    <w:rsid w:val="00161D58"/>
    <w:rsid w:val="00162B29"/>
    <w:rsid w:val="001659C1"/>
    <w:rsid w:val="0016637B"/>
    <w:rsid w:val="00173A8E"/>
    <w:rsid w:val="00177587"/>
    <w:rsid w:val="0018143F"/>
    <w:rsid w:val="00190AC1"/>
    <w:rsid w:val="0019341A"/>
    <w:rsid w:val="00194A9F"/>
    <w:rsid w:val="001955A4"/>
    <w:rsid w:val="00197DF9"/>
    <w:rsid w:val="001A1987"/>
    <w:rsid w:val="001A2564"/>
    <w:rsid w:val="001A2A82"/>
    <w:rsid w:val="001A2B06"/>
    <w:rsid w:val="001A6173"/>
    <w:rsid w:val="001A65E5"/>
    <w:rsid w:val="001A6CBA"/>
    <w:rsid w:val="001B0D97"/>
    <w:rsid w:val="001B4117"/>
    <w:rsid w:val="001B5A5D"/>
    <w:rsid w:val="001B613A"/>
    <w:rsid w:val="001B644E"/>
    <w:rsid w:val="001C1CE5"/>
    <w:rsid w:val="001C3D2A"/>
    <w:rsid w:val="001C4EEE"/>
    <w:rsid w:val="001D0E26"/>
    <w:rsid w:val="001D20C3"/>
    <w:rsid w:val="001D51BA"/>
    <w:rsid w:val="001D61A9"/>
    <w:rsid w:val="001D6342"/>
    <w:rsid w:val="001D6D53"/>
    <w:rsid w:val="001E0114"/>
    <w:rsid w:val="001E58E2"/>
    <w:rsid w:val="001E7AED"/>
    <w:rsid w:val="001F2689"/>
    <w:rsid w:val="001F3916"/>
    <w:rsid w:val="001F54C5"/>
    <w:rsid w:val="001F662C"/>
    <w:rsid w:val="001F7074"/>
    <w:rsid w:val="00200490"/>
    <w:rsid w:val="00201F3A"/>
    <w:rsid w:val="00203F96"/>
    <w:rsid w:val="002069B2"/>
    <w:rsid w:val="00207FA3"/>
    <w:rsid w:val="0021200B"/>
    <w:rsid w:val="00214DA8"/>
    <w:rsid w:val="00214EA9"/>
    <w:rsid w:val="00215423"/>
    <w:rsid w:val="002158FA"/>
    <w:rsid w:val="00220600"/>
    <w:rsid w:val="002224DB"/>
    <w:rsid w:val="00223FCB"/>
    <w:rsid w:val="002252C3"/>
    <w:rsid w:val="00225C54"/>
    <w:rsid w:val="00230765"/>
    <w:rsid w:val="00230D6D"/>
    <w:rsid w:val="002319E4"/>
    <w:rsid w:val="00235632"/>
    <w:rsid w:val="00235872"/>
    <w:rsid w:val="00236BF5"/>
    <w:rsid w:val="0024145F"/>
    <w:rsid w:val="00241559"/>
    <w:rsid w:val="002435B3"/>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6EF5"/>
    <w:rsid w:val="002805F5"/>
    <w:rsid w:val="00280751"/>
    <w:rsid w:val="0028280A"/>
    <w:rsid w:val="002828DA"/>
    <w:rsid w:val="00285ED6"/>
    <w:rsid w:val="00286ACD"/>
    <w:rsid w:val="00287838"/>
    <w:rsid w:val="002907B5"/>
    <w:rsid w:val="00292EB7"/>
    <w:rsid w:val="00295E23"/>
    <w:rsid w:val="00296227"/>
    <w:rsid w:val="00296F44"/>
    <w:rsid w:val="0029777D"/>
    <w:rsid w:val="002A055E"/>
    <w:rsid w:val="002A1D4E"/>
    <w:rsid w:val="002A2869"/>
    <w:rsid w:val="002B0D5D"/>
    <w:rsid w:val="002B24D6"/>
    <w:rsid w:val="002B32CA"/>
    <w:rsid w:val="002B366E"/>
    <w:rsid w:val="002C41E6"/>
    <w:rsid w:val="002C52C8"/>
    <w:rsid w:val="002D071A"/>
    <w:rsid w:val="002D34B2"/>
    <w:rsid w:val="002D3E97"/>
    <w:rsid w:val="002D5F0F"/>
    <w:rsid w:val="002D7637"/>
    <w:rsid w:val="002E17F2"/>
    <w:rsid w:val="002E6860"/>
    <w:rsid w:val="002E7CAE"/>
    <w:rsid w:val="002F2771"/>
    <w:rsid w:val="002F37A9"/>
    <w:rsid w:val="002F505A"/>
    <w:rsid w:val="00301CE6"/>
    <w:rsid w:val="0030256B"/>
    <w:rsid w:val="0030501F"/>
    <w:rsid w:val="00307BA1"/>
    <w:rsid w:val="00311702"/>
    <w:rsid w:val="00311E82"/>
    <w:rsid w:val="00313FD6"/>
    <w:rsid w:val="003140FC"/>
    <w:rsid w:val="003143BD"/>
    <w:rsid w:val="003203ED"/>
    <w:rsid w:val="0032131B"/>
    <w:rsid w:val="00322C9F"/>
    <w:rsid w:val="0032460C"/>
    <w:rsid w:val="00324D23"/>
    <w:rsid w:val="00331751"/>
    <w:rsid w:val="00334579"/>
    <w:rsid w:val="00335858"/>
    <w:rsid w:val="00336BDA"/>
    <w:rsid w:val="00342681"/>
    <w:rsid w:val="00342BD7"/>
    <w:rsid w:val="00346DB5"/>
    <w:rsid w:val="003477B1"/>
    <w:rsid w:val="00356C79"/>
    <w:rsid w:val="00357380"/>
    <w:rsid w:val="003602D9"/>
    <w:rsid w:val="003604CE"/>
    <w:rsid w:val="00370E47"/>
    <w:rsid w:val="003735A4"/>
    <w:rsid w:val="003742AC"/>
    <w:rsid w:val="00375476"/>
    <w:rsid w:val="00377CE1"/>
    <w:rsid w:val="00381B3C"/>
    <w:rsid w:val="00385BF0"/>
    <w:rsid w:val="00390400"/>
    <w:rsid w:val="0039066C"/>
    <w:rsid w:val="003939FF"/>
    <w:rsid w:val="003977DD"/>
    <w:rsid w:val="003A2223"/>
    <w:rsid w:val="003A2A0F"/>
    <w:rsid w:val="003A45A1"/>
    <w:rsid w:val="003A5B0A"/>
    <w:rsid w:val="003A6BAC"/>
    <w:rsid w:val="003A6F87"/>
    <w:rsid w:val="003A7EF3"/>
    <w:rsid w:val="003B03C5"/>
    <w:rsid w:val="003B159C"/>
    <w:rsid w:val="003B369F"/>
    <w:rsid w:val="003B36A3"/>
    <w:rsid w:val="003B7FE5"/>
    <w:rsid w:val="003C11C8"/>
    <w:rsid w:val="003C1B54"/>
    <w:rsid w:val="003C2702"/>
    <w:rsid w:val="003C4CE3"/>
    <w:rsid w:val="003C672E"/>
    <w:rsid w:val="003C7806"/>
    <w:rsid w:val="003D109F"/>
    <w:rsid w:val="003D2478"/>
    <w:rsid w:val="003D3754"/>
    <w:rsid w:val="003D3C45"/>
    <w:rsid w:val="003D5B1F"/>
    <w:rsid w:val="003E15FA"/>
    <w:rsid w:val="003E55E4"/>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21105"/>
    <w:rsid w:val="004242F4"/>
    <w:rsid w:val="00426E7B"/>
    <w:rsid w:val="00427248"/>
    <w:rsid w:val="004358F0"/>
    <w:rsid w:val="00437447"/>
    <w:rsid w:val="00441A92"/>
    <w:rsid w:val="004428EF"/>
    <w:rsid w:val="00444F56"/>
    <w:rsid w:val="0044528E"/>
    <w:rsid w:val="00446488"/>
    <w:rsid w:val="004517AA"/>
    <w:rsid w:val="00452CAC"/>
    <w:rsid w:val="00452E9A"/>
    <w:rsid w:val="00454DAD"/>
    <w:rsid w:val="00456BC0"/>
    <w:rsid w:val="00457565"/>
    <w:rsid w:val="00457B71"/>
    <w:rsid w:val="0046372D"/>
    <w:rsid w:val="004669E2"/>
    <w:rsid w:val="00470C31"/>
    <w:rsid w:val="00471B16"/>
    <w:rsid w:val="004734D0"/>
    <w:rsid w:val="0047475A"/>
    <w:rsid w:val="0047556B"/>
    <w:rsid w:val="00477768"/>
    <w:rsid w:val="00483BB6"/>
    <w:rsid w:val="00486ACF"/>
    <w:rsid w:val="00492BC5"/>
    <w:rsid w:val="004964F1"/>
    <w:rsid w:val="0049652C"/>
    <w:rsid w:val="00497F83"/>
    <w:rsid w:val="004A0635"/>
    <w:rsid w:val="004A16BC"/>
    <w:rsid w:val="004A2B94"/>
    <w:rsid w:val="004A3021"/>
    <w:rsid w:val="004A7D56"/>
    <w:rsid w:val="004B72BA"/>
    <w:rsid w:val="004B7C0C"/>
    <w:rsid w:val="004C379F"/>
    <w:rsid w:val="004C3898"/>
    <w:rsid w:val="004C7E2C"/>
    <w:rsid w:val="004D1E06"/>
    <w:rsid w:val="004D36B1"/>
    <w:rsid w:val="004D7EBD"/>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23B3"/>
    <w:rsid w:val="005153A7"/>
    <w:rsid w:val="00517AD0"/>
    <w:rsid w:val="00520159"/>
    <w:rsid w:val="00520D36"/>
    <w:rsid w:val="005219CF"/>
    <w:rsid w:val="00527027"/>
    <w:rsid w:val="00530FD1"/>
    <w:rsid w:val="00532CBD"/>
    <w:rsid w:val="0053491E"/>
    <w:rsid w:val="00534B59"/>
    <w:rsid w:val="00536759"/>
    <w:rsid w:val="00537C62"/>
    <w:rsid w:val="0054294A"/>
    <w:rsid w:val="00546970"/>
    <w:rsid w:val="00547D9C"/>
    <w:rsid w:val="0055231F"/>
    <w:rsid w:val="00554E19"/>
    <w:rsid w:val="0056121F"/>
    <w:rsid w:val="00565488"/>
    <w:rsid w:val="00572505"/>
    <w:rsid w:val="005743A5"/>
    <w:rsid w:val="00582809"/>
    <w:rsid w:val="0058798C"/>
    <w:rsid w:val="00587FA9"/>
    <w:rsid w:val="005900FA"/>
    <w:rsid w:val="005935A4"/>
    <w:rsid w:val="0059413D"/>
    <w:rsid w:val="005948C2"/>
    <w:rsid w:val="00595DCA"/>
    <w:rsid w:val="005972D5"/>
    <w:rsid w:val="00597568"/>
    <w:rsid w:val="0059779B"/>
    <w:rsid w:val="005A209A"/>
    <w:rsid w:val="005A288A"/>
    <w:rsid w:val="005A662D"/>
    <w:rsid w:val="005A68BA"/>
    <w:rsid w:val="005B04A1"/>
    <w:rsid w:val="005B1CDF"/>
    <w:rsid w:val="005B3063"/>
    <w:rsid w:val="005B35D7"/>
    <w:rsid w:val="005B392A"/>
    <w:rsid w:val="005B3AA3"/>
    <w:rsid w:val="005B6F83"/>
    <w:rsid w:val="005B7576"/>
    <w:rsid w:val="005C1729"/>
    <w:rsid w:val="005C74FB"/>
    <w:rsid w:val="005C7DAA"/>
    <w:rsid w:val="005D1602"/>
    <w:rsid w:val="005D6F32"/>
    <w:rsid w:val="005E1503"/>
    <w:rsid w:val="005E385F"/>
    <w:rsid w:val="005E3CCA"/>
    <w:rsid w:val="005E5834"/>
    <w:rsid w:val="005E5B81"/>
    <w:rsid w:val="005F2CB1"/>
    <w:rsid w:val="005F3025"/>
    <w:rsid w:val="005F599F"/>
    <w:rsid w:val="005F618C"/>
    <w:rsid w:val="005F70BD"/>
    <w:rsid w:val="00600F6A"/>
    <w:rsid w:val="006010AD"/>
    <w:rsid w:val="0060283C"/>
    <w:rsid w:val="00604F14"/>
    <w:rsid w:val="00605BE1"/>
    <w:rsid w:val="00606229"/>
    <w:rsid w:val="00611B83"/>
    <w:rsid w:val="00613257"/>
    <w:rsid w:val="00615440"/>
    <w:rsid w:val="00615B9D"/>
    <w:rsid w:val="00620A71"/>
    <w:rsid w:val="00620D80"/>
    <w:rsid w:val="006234A6"/>
    <w:rsid w:val="00623923"/>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DE7"/>
    <w:rsid w:val="00683ECE"/>
    <w:rsid w:val="00695FC2"/>
    <w:rsid w:val="006967F7"/>
    <w:rsid w:val="00696949"/>
    <w:rsid w:val="00697052"/>
    <w:rsid w:val="006A46FB"/>
    <w:rsid w:val="006A5E28"/>
    <w:rsid w:val="006A697B"/>
    <w:rsid w:val="006A7AFF"/>
    <w:rsid w:val="006B03C1"/>
    <w:rsid w:val="006B0BB5"/>
    <w:rsid w:val="006B1816"/>
    <w:rsid w:val="006B2099"/>
    <w:rsid w:val="006B50CF"/>
    <w:rsid w:val="006C03B8"/>
    <w:rsid w:val="006C14EE"/>
    <w:rsid w:val="006C5EC9"/>
    <w:rsid w:val="006C6059"/>
    <w:rsid w:val="006C7522"/>
    <w:rsid w:val="006D42E6"/>
    <w:rsid w:val="006D43DA"/>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6101"/>
    <w:rsid w:val="00707072"/>
    <w:rsid w:val="00707D61"/>
    <w:rsid w:val="00712287"/>
    <w:rsid w:val="00712772"/>
    <w:rsid w:val="007148D3"/>
    <w:rsid w:val="00715B9A"/>
    <w:rsid w:val="00726EA6"/>
    <w:rsid w:val="00727208"/>
    <w:rsid w:val="00727680"/>
    <w:rsid w:val="007348B1"/>
    <w:rsid w:val="00735268"/>
    <w:rsid w:val="007362A6"/>
    <w:rsid w:val="00736D7D"/>
    <w:rsid w:val="00740E58"/>
    <w:rsid w:val="0074428B"/>
    <w:rsid w:val="007445A0"/>
    <w:rsid w:val="0074524B"/>
    <w:rsid w:val="00747D8B"/>
    <w:rsid w:val="007508A2"/>
    <w:rsid w:val="00751228"/>
    <w:rsid w:val="007571E1"/>
    <w:rsid w:val="007604B2"/>
    <w:rsid w:val="00765281"/>
    <w:rsid w:val="00766BAD"/>
    <w:rsid w:val="0076708C"/>
    <w:rsid w:val="007755F2"/>
    <w:rsid w:val="00776971"/>
    <w:rsid w:val="0078177E"/>
    <w:rsid w:val="0078304C"/>
    <w:rsid w:val="00783673"/>
    <w:rsid w:val="00785490"/>
    <w:rsid w:val="007925EA"/>
    <w:rsid w:val="0079296C"/>
    <w:rsid w:val="00793CD8"/>
    <w:rsid w:val="00793DF1"/>
    <w:rsid w:val="00795C92"/>
    <w:rsid w:val="00796231"/>
    <w:rsid w:val="007966F9"/>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0BA6"/>
    <w:rsid w:val="007D5901"/>
    <w:rsid w:val="007D7526"/>
    <w:rsid w:val="007E1DEB"/>
    <w:rsid w:val="007E4610"/>
    <w:rsid w:val="007E4715"/>
    <w:rsid w:val="007E505B"/>
    <w:rsid w:val="007E6DA9"/>
    <w:rsid w:val="007E7091"/>
    <w:rsid w:val="007E784D"/>
    <w:rsid w:val="007F60D8"/>
    <w:rsid w:val="00803FAE"/>
    <w:rsid w:val="0080605F"/>
    <w:rsid w:val="00807786"/>
    <w:rsid w:val="0081144B"/>
    <w:rsid w:val="00811FCB"/>
    <w:rsid w:val="008158D6"/>
    <w:rsid w:val="00816203"/>
    <w:rsid w:val="00817196"/>
    <w:rsid w:val="008235DB"/>
    <w:rsid w:val="00824AB4"/>
    <w:rsid w:val="00825C42"/>
    <w:rsid w:val="00825D25"/>
    <w:rsid w:val="00826C8B"/>
    <w:rsid w:val="00827D6F"/>
    <w:rsid w:val="0083700D"/>
    <w:rsid w:val="008376AC"/>
    <w:rsid w:val="008444E8"/>
    <w:rsid w:val="00844E80"/>
    <w:rsid w:val="00846FE7"/>
    <w:rsid w:val="00856911"/>
    <w:rsid w:val="008677FD"/>
    <w:rsid w:val="008706D4"/>
    <w:rsid w:val="00870F8A"/>
    <w:rsid w:val="008719A4"/>
    <w:rsid w:val="00871D23"/>
    <w:rsid w:val="00873177"/>
    <w:rsid w:val="00874312"/>
    <w:rsid w:val="0087437C"/>
    <w:rsid w:val="00875CD7"/>
    <w:rsid w:val="00876B4D"/>
    <w:rsid w:val="00877F18"/>
    <w:rsid w:val="008804A8"/>
    <w:rsid w:val="00884BB3"/>
    <w:rsid w:val="00884BD8"/>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D34F1"/>
    <w:rsid w:val="008D39D8"/>
    <w:rsid w:val="008D6D1A"/>
    <w:rsid w:val="008D74B4"/>
    <w:rsid w:val="008E065E"/>
    <w:rsid w:val="008E0927"/>
    <w:rsid w:val="008E153D"/>
    <w:rsid w:val="008E1909"/>
    <w:rsid w:val="008F1EAB"/>
    <w:rsid w:val="008F33DC"/>
    <w:rsid w:val="008F477F"/>
    <w:rsid w:val="008F523A"/>
    <w:rsid w:val="008F58A4"/>
    <w:rsid w:val="00902350"/>
    <w:rsid w:val="0090336B"/>
    <w:rsid w:val="009053AA"/>
    <w:rsid w:val="009053B0"/>
    <w:rsid w:val="0090544E"/>
    <w:rsid w:val="00906939"/>
    <w:rsid w:val="00910B7D"/>
    <w:rsid w:val="00911DFB"/>
    <w:rsid w:val="009139D9"/>
    <w:rsid w:val="00913E71"/>
    <w:rsid w:val="00914AD8"/>
    <w:rsid w:val="00914AE6"/>
    <w:rsid w:val="009158A3"/>
    <w:rsid w:val="00916046"/>
    <w:rsid w:val="00916079"/>
    <w:rsid w:val="00917CE9"/>
    <w:rsid w:val="00920BF2"/>
    <w:rsid w:val="00922010"/>
    <w:rsid w:val="0092474B"/>
    <w:rsid w:val="00927915"/>
    <w:rsid w:val="00931363"/>
    <w:rsid w:val="00931BD9"/>
    <w:rsid w:val="0093523B"/>
    <w:rsid w:val="009368F3"/>
    <w:rsid w:val="00941636"/>
    <w:rsid w:val="00943742"/>
    <w:rsid w:val="00945C05"/>
    <w:rsid w:val="00946945"/>
    <w:rsid w:val="00947713"/>
    <w:rsid w:val="00950DE7"/>
    <w:rsid w:val="00951AF2"/>
    <w:rsid w:val="00953920"/>
    <w:rsid w:val="00953D47"/>
    <w:rsid w:val="0095681E"/>
    <w:rsid w:val="009572D4"/>
    <w:rsid w:val="00961921"/>
    <w:rsid w:val="0096430A"/>
    <w:rsid w:val="0096554B"/>
    <w:rsid w:val="0096584A"/>
    <w:rsid w:val="009675AA"/>
    <w:rsid w:val="00971F08"/>
    <w:rsid w:val="0097603D"/>
    <w:rsid w:val="00976949"/>
    <w:rsid w:val="00980477"/>
    <w:rsid w:val="00985253"/>
    <w:rsid w:val="009853B3"/>
    <w:rsid w:val="00986253"/>
    <w:rsid w:val="00990630"/>
    <w:rsid w:val="00991761"/>
    <w:rsid w:val="009940CF"/>
    <w:rsid w:val="00994DCA"/>
    <w:rsid w:val="009960EC"/>
    <w:rsid w:val="009970DD"/>
    <w:rsid w:val="009976D3"/>
    <w:rsid w:val="009A04FA"/>
    <w:rsid w:val="009A0FBA"/>
    <w:rsid w:val="009A1601"/>
    <w:rsid w:val="009A2BD6"/>
    <w:rsid w:val="009A462D"/>
    <w:rsid w:val="009A5CBA"/>
    <w:rsid w:val="009A7664"/>
    <w:rsid w:val="009A7879"/>
    <w:rsid w:val="009B1F30"/>
    <w:rsid w:val="009B3AC2"/>
    <w:rsid w:val="009B4DF4"/>
    <w:rsid w:val="009B564E"/>
    <w:rsid w:val="009B7E87"/>
    <w:rsid w:val="009C403E"/>
    <w:rsid w:val="009C5408"/>
    <w:rsid w:val="009D28AD"/>
    <w:rsid w:val="009D38B6"/>
    <w:rsid w:val="009D4FF0"/>
    <w:rsid w:val="009D703C"/>
    <w:rsid w:val="009D718F"/>
    <w:rsid w:val="009E068F"/>
    <w:rsid w:val="009E14E0"/>
    <w:rsid w:val="009E35DB"/>
    <w:rsid w:val="009E47A3"/>
    <w:rsid w:val="009F08F3"/>
    <w:rsid w:val="009F344F"/>
    <w:rsid w:val="009F7EC6"/>
    <w:rsid w:val="00A048A8"/>
    <w:rsid w:val="00A04F49"/>
    <w:rsid w:val="00A07A3D"/>
    <w:rsid w:val="00A12509"/>
    <w:rsid w:val="00A13E54"/>
    <w:rsid w:val="00A14603"/>
    <w:rsid w:val="00A17F63"/>
    <w:rsid w:val="00A2068F"/>
    <w:rsid w:val="00A20B9F"/>
    <w:rsid w:val="00A2193B"/>
    <w:rsid w:val="00A2351A"/>
    <w:rsid w:val="00A23A3B"/>
    <w:rsid w:val="00A264A9"/>
    <w:rsid w:val="00A27785"/>
    <w:rsid w:val="00A30187"/>
    <w:rsid w:val="00A31C10"/>
    <w:rsid w:val="00A3448A"/>
    <w:rsid w:val="00A36297"/>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5B12"/>
    <w:rsid w:val="00A92879"/>
    <w:rsid w:val="00A937F3"/>
    <w:rsid w:val="00A9442A"/>
    <w:rsid w:val="00AA016F"/>
    <w:rsid w:val="00AA1521"/>
    <w:rsid w:val="00AA1ED6"/>
    <w:rsid w:val="00AA4F83"/>
    <w:rsid w:val="00AA51D6"/>
    <w:rsid w:val="00AA7770"/>
    <w:rsid w:val="00AB0BC8"/>
    <w:rsid w:val="00AB11CA"/>
    <w:rsid w:val="00AB14D9"/>
    <w:rsid w:val="00AB2AED"/>
    <w:rsid w:val="00AB2E29"/>
    <w:rsid w:val="00AB4AB8"/>
    <w:rsid w:val="00AB655E"/>
    <w:rsid w:val="00AB7B6B"/>
    <w:rsid w:val="00AC007F"/>
    <w:rsid w:val="00AC263C"/>
    <w:rsid w:val="00AC2ECD"/>
    <w:rsid w:val="00AC3119"/>
    <w:rsid w:val="00AC49FB"/>
    <w:rsid w:val="00AC5A10"/>
    <w:rsid w:val="00AD0AA3"/>
    <w:rsid w:val="00AD1D0F"/>
    <w:rsid w:val="00AD3F94"/>
    <w:rsid w:val="00AD4A5A"/>
    <w:rsid w:val="00AD692B"/>
    <w:rsid w:val="00AD69D8"/>
    <w:rsid w:val="00AE27AC"/>
    <w:rsid w:val="00AE40E0"/>
    <w:rsid w:val="00AE4DBA"/>
    <w:rsid w:val="00AE4F07"/>
    <w:rsid w:val="00AE7C50"/>
    <w:rsid w:val="00AF1C5D"/>
    <w:rsid w:val="00AF42D7"/>
    <w:rsid w:val="00AF70B2"/>
    <w:rsid w:val="00B006FE"/>
    <w:rsid w:val="00B007CB"/>
    <w:rsid w:val="00B02AA9"/>
    <w:rsid w:val="00B02FA3"/>
    <w:rsid w:val="00B05084"/>
    <w:rsid w:val="00B157F9"/>
    <w:rsid w:val="00B16AFE"/>
    <w:rsid w:val="00B17CEC"/>
    <w:rsid w:val="00B20256"/>
    <w:rsid w:val="00B20D09"/>
    <w:rsid w:val="00B222B8"/>
    <w:rsid w:val="00B24BAE"/>
    <w:rsid w:val="00B2763F"/>
    <w:rsid w:val="00B27AAC"/>
    <w:rsid w:val="00B30929"/>
    <w:rsid w:val="00B372AA"/>
    <w:rsid w:val="00B40445"/>
    <w:rsid w:val="00B41888"/>
    <w:rsid w:val="00B436F4"/>
    <w:rsid w:val="00B45A52"/>
    <w:rsid w:val="00B46175"/>
    <w:rsid w:val="00B538DB"/>
    <w:rsid w:val="00B563F3"/>
    <w:rsid w:val="00B664C7"/>
    <w:rsid w:val="00B739F6"/>
    <w:rsid w:val="00B7527D"/>
    <w:rsid w:val="00B76D9B"/>
    <w:rsid w:val="00B8088E"/>
    <w:rsid w:val="00B816EA"/>
    <w:rsid w:val="00B81A6C"/>
    <w:rsid w:val="00B81B0D"/>
    <w:rsid w:val="00B8383E"/>
    <w:rsid w:val="00B85DE5"/>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C0FDC"/>
    <w:rsid w:val="00BC3053"/>
    <w:rsid w:val="00BC4D2E"/>
    <w:rsid w:val="00BC6E2C"/>
    <w:rsid w:val="00BC6FD2"/>
    <w:rsid w:val="00BD09F7"/>
    <w:rsid w:val="00BD48AC"/>
    <w:rsid w:val="00BD5F1A"/>
    <w:rsid w:val="00BD7A42"/>
    <w:rsid w:val="00BE1234"/>
    <w:rsid w:val="00BE2FA6"/>
    <w:rsid w:val="00BE333F"/>
    <w:rsid w:val="00BE49D7"/>
    <w:rsid w:val="00BE7406"/>
    <w:rsid w:val="00BE7603"/>
    <w:rsid w:val="00BF3279"/>
    <w:rsid w:val="00BF74C7"/>
    <w:rsid w:val="00C015F1"/>
    <w:rsid w:val="00C01F33"/>
    <w:rsid w:val="00C02CC6"/>
    <w:rsid w:val="00C040F7"/>
    <w:rsid w:val="00C044AB"/>
    <w:rsid w:val="00C04DD2"/>
    <w:rsid w:val="00C05706"/>
    <w:rsid w:val="00C07377"/>
    <w:rsid w:val="00C10478"/>
    <w:rsid w:val="00C10F3D"/>
    <w:rsid w:val="00C1131A"/>
    <w:rsid w:val="00C12107"/>
    <w:rsid w:val="00C139E1"/>
    <w:rsid w:val="00C14D4B"/>
    <w:rsid w:val="00C154BB"/>
    <w:rsid w:val="00C22738"/>
    <w:rsid w:val="00C26796"/>
    <w:rsid w:val="00C279B5"/>
    <w:rsid w:val="00C27C45"/>
    <w:rsid w:val="00C35701"/>
    <w:rsid w:val="00C36C34"/>
    <w:rsid w:val="00C3719D"/>
    <w:rsid w:val="00C4040A"/>
    <w:rsid w:val="00C45B86"/>
    <w:rsid w:val="00C46F0A"/>
    <w:rsid w:val="00C4713E"/>
    <w:rsid w:val="00C54995"/>
    <w:rsid w:val="00C54D41"/>
    <w:rsid w:val="00C60783"/>
    <w:rsid w:val="00C632A4"/>
    <w:rsid w:val="00C64672"/>
    <w:rsid w:val="00C65BC9"/>
    <w:rsid w:val="00C6628F"/>
    <w:rsid w:val="00C701C1"/>
    <w:rsid w:val="00C70697"/>
    <w:rsid w:val="00C7110B"/>
    <w:rsid w:val="00C72EF4"/>
    <w:rsid w:val="00C72FFB"/>
    <w:rsid w:val="00C75D2F"/>
    <w:rsid w:val="00C767BE"/>
    <w:rsid w:val="00C76E3C"/>
    <w:rsid w:val="00C77776"/>
    <w:rsid w:val="00C77795"/>
    <w:rsid w:val="00C81568"/>
    <w:rsid w:val="00C9027A"/>
    <w:rsid w:val="00C9068E"/>
    <w:rsid w:val="00C93C4B"/>
    <w:rsid w:val="00C944AB"/>
    <w:rsid w:val="00C95B40"/>
    <w:rsid w:val="00CA1ED8"/>
    <w:rsid w:val="00CA25B1"/>
    <w:rsid w:val="00CB1F63"/>
    <w:rsid w:val="00CB7170"/>
    <w:rsid w:val="00CC040E"/>
    <w:rsid w:val="00CC111F"/>
    <w:rsid w:val="00CC2011"/>
    <w:rsid w:val="00CC3EA0"/>
    <w:rsid w:val="00CC7B45"/>
    <w:rsid w:val="00CD1188"/>
    <w:rsid w:val="00CD127A"/>
    <w:rsid w:val="00CD2ED1"/>
    <w:rsid w:val="00CD337B"/>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3135"/>
    <w:rsid w:val="00D13E4E"/>
    <w:rsid w:val="00D20493"/>
    <w:rsid w:val="00D22D5E"/>
    <w:rsid w:val="00D239A7"/>
    <w:rsid w:val="00D23F47"/>
    <w:rsid w:val="00D32A9B"/>
    <w:rsid w:val="00D36E71"/>
    <w:rsid w:val="00D3710F"/>
    <w:rsid w:val="00D37D87"/>
    <w:rsid w:val="00D40B33"/>
    <w:rsid w:val="00D4318F"/>
    <w:rsid w:val="00D438BF"/>
    <w:rsid w:val="00D440F8"/>
    <w:rsid w:val="00D546FF"/>
    <w:rsid w:val="00D547DD"/>
    <w:rsid w:val="00D55AD5"/>
    <w:rsid w:val="00D576CA"/>
    <w:rsid w:val="00D61AF5"/>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A7DB7"/>
    <w:rsid w:val="00DB0A9F"/>
    <w:rsid w:val="00DB377D"/>
    <w:rsid w:val="00DB6176"/>
    <w:rsid w:val="00DC1C50"/>
    <w:rsid w:val="00DC2D36"/>
    <w:rsid w:val="00DC53EF"/>
    <w:rsid w:val="00DD6051"/>
    <w:rsid w:val="00DD6BE3"/>
    <w:rsid w:val="00DD6CA7"/>
    <w:rsid w:val="00DE3BDB"/>
    <w:rsid w:val="00DE5608"/>
    <w:rsid w:val="00DE58D0"/>
    <w:rsid w:val="00DE654F"/>
    <w:rsid w:val="00DF0B6E"/>
    <w:rsid w:val="00DF15E0"/>
    <w:rsid w:val="00DF37A0"/>
    <w:rsid w:val="00DF5B71"/>
    <w:rsid w:val="00DF7229"/>
    <w:rsid w:val="00E00660"/>
    <w:rsid w:val="00E00BE1"/>
    <w:rsid w:val="00E046ED"/>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7565"/>
    <w:rsid w:val="00E63838"/>
    <w:rsid w:val="00E64434"/>
    <w:rsid w:val="00E67C51"/>
    <w:rsid w:val="00E72EFC"/>
    <w:rsid w:val="00E758EC"/>
    <w:rsid w:val="00E77CCC"/>
    <w:rsid w:val="00E8234C"/>
    <w:rsid w:val="00E83AA9"/>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F0524C"/>
    <w:rsid w:val="00F0528D"/>
    <w:rsid w:val="00F06C67"/>
    <w:rsid w:val="00F06DFD"/>
    <w:rsid w:val="00F071D1"/>
    <w:rsid w:val="00F07533"/>
    <w:rsid w:val="00F10595"/>
    <w:rsid w:val="00F10629"/>
    <w:rsid w:val="00F15FA5"/>
    <w:rsid w:val="00F209B7"/>
    <w:rsid w:val="00F2376F"/>
    <w:rsid w:val="00F243D8"/>
    <w:rsid w:val="00F2556B"/>
    <w:rsid w:val="00F262AD"/>
    <w:rsid w:val="00F27B04"/>
    <w:rsid w:val="00F30828"/>
    <w:rsid w:val="00F313D6"/>
    <w:rsid w:val="00F40F0C"/>
    <w:rsid w:val="00F42239"/>
    <w:rsid w:val="00F4766C"/>
    <w:rsid w:val="00F50548"/>
    <w:rsid w:val="00F507D1"/>
    <w:rsid w:val="00F514BD"/>
    <w:rsid w:val="00F519CE"/>
    <w:rsid w:val="00F51ADA"/>
    <w:rsid w:val="00F56091"/>
    <w:rsid w:val="00F56C6D"/>
    <w:rsid w:val="00F572C8"/>
    <w:rsid w:val="00F607C5"/>
    <w:rsid w:val="00F60DEA"/>
    <w:rsid w:val="00F6302A"/>
    <w:rsid w:val="00F64C2B"/>
    <w:rsid w:val="00F651BE"/>
    <w:rsid w:val="00F67F53"/>
    <w:rsid w:val="00F703BE"/>
    <w:rsid w:val="00F71F69"/>
    <w:rsid w:val="00F727E7"/>
    <w:rsid w:val="00F72B72"/>
    <w:rsid w:val="00F74BB9"/>
    <w:rsid w:val="00F75582"/>
    <w:rsid w:val="00F76EFA"/>
    <w:rsid w:val="00F8033E"/>
    <w:rsid w:val="00F804BE"/>
    <w:rsid w:val="00F817CE"/>
    <w:rsid w:val="00F81AF6"/>
    <w:rsid w:val="00F8456C"/>
    <w:rsid w:val="00F848DD"/>
    <w:rsid w:val="00F84C22"/>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A68D0"/>
    <w:rsid w:val="00FB216B"/>
    <w:rsid w:val="00FB3B05"/>
    <w:rsid w:val="00FB4C80"/>
    <w:rsid w:val="00FB6A6A"/>
    <w:rsid w:val="00FC4E33"/>
    <w:rsid w:val="00FC721F"/>
    <w:rsid w:val="00FC7429"/>
    <w:rsid w:val="00FC74B1"/>
    <w:rsid w:val="00FD07F6"/>
    <w:rsid w:val="00FD0EE5"/>
    <w:rsid w:val="00FD1EC8"/>
    <w:rsid w:val="00FD2354"/>
    <w:rsid w:val="00FD292F"/>
    <w:rsid w:val="00FD47ED"/>
    <w:rsid w:val="00FD50C6"/>
    <w:rsid w:val="00FD74DB"/>
    <w:rsid w:val="00FD7660"/>
    <w:rsid w:val="00FE0655"/>
    <w:rsid w:val="00FE2365"/>
    <w:rsid w:val="00FE2ABC"/>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9E35DB"/>
    <w:rPr>
      <w:b/>
      <w:bCs/>
      <w:position w:val="6"/>
      <w:sz w:val="16"/>
      <w:szCs w:val="16"/>
    </w:rPr>
  </w:style>
  <w:style w:type="paragraph" w:styleId="FootnoteText">
    <w:name w:val="footnote text"/>
    <w:basedOn w:val="Normal"/>
    <w:link w:val="FootnoteTextChar"/>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46F0A"/>
    <w:rPr>
      <w:color w:val="808080"/>
    </w:rPr>
  </w:style>
  <w:style w:type="paragraph" w:customStyle="1" w:styleId="CaptionFigureWide">
    <w:name w:val="CaptionFigureWide"/>
    <w:next w:val="BodyText"/>
    <w:rsid w:val="00F56C6D"/>
    <w:pPr>
      <w:tabs>
        <w:tab w:val="left" w:pos="2268"/>
      </w:tabs>
      <w:spacing w:before="120" w:after="60"/>
      <w:ind w:left="2268" w:hanging="964"/>
    </w:pPr>
    <w:rPr>
      <w:rFonts w:ascii="Arial" w:hAnsi="Arial"/>
    </w:rPr>
  </w:style>
  <w:style w:type="character" w:customStyle="1" w:styleId="FootnoteTextChar">
    <w:name w:val="Footnote Text Char"/>
    <w:link w:val="FootnoteText"/>
    <w:rsid w:val="000F7836"/>
    <w:rPr>
      <w:rFonts w:ascii="Arial" w:hAnsi="Arial"/>
      <w:sz w:val="16"/>
      <w:szCs w:val="16"/>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9E35DB"/>
    <w:rPr>
      <w:b/>
      <w:bCs/>
      <w:position w:val="6"/>
      <w:sz w:val="16"/>
      <w:szCs w:val="16"/>
    </w:rPr>
  </w:style>
  <w:style w:type="paragraph" w:styleId="FootnoteText">
    <w:name w:val="footnote text"/>
    <w:basedOn w:val="Normal"/>
    <w:link w:val="FootnoteTextChar"/>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46F0A"/>
    <w:rPr>
      <w:color w:val="808080"/>
    </w:rPr>
  </w:style>
  <w:style w:type="paragraph" w:customStyle="1" w:styleId="CaptionFigureWide">
    <w:name w:val="CaptionFigureWide"/>
    <w:next w:val="BodyText"/>
    <w:rsid w:val="00F56C6D"/>
    <w:pPr>
      <w:tabs>
        <w:tab w:val="left" w:pos="2268"/>
      </w:tabs>
      <w:spacing w:before="120" w:after="60"/>
      <w:ind w:left="2268" w:hanging="964"/>
    </w:pPr>
    <w:rPr>
      <w:rFonts w:ascii="Arial" w:hAnsi="Arial"/>
    </w:rPr>
  </w:style>
  <w:style w:type="character" w:customStyle="1" w:styleId="FootnoteTextChar">
    <w:name w:val="Footnote Text Char"/>
    <w:link w:val="FootnoteText"/>
    <w:rsid w:val="000F7836"/>
    <w:rPr>
      <w:rFonts w:ascii="Arial" w:hAnsi="Arial"/>
      <w:sz w:val="16"/>
      <w:szCs w:val="1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99669164">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 Id="rId2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9218D-1490-40A6-9192-B2184C1CE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1557</Words>
  <Characters>8878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2016-04-01T13:01:00Z</dcterms:created>
  <dcterms:modified xsi:type="dcterms:W3CDTF">2016-04-01T13:01:00Z</dcterms:modified>
</cp:coreProperties>
</file>